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69E" w:rsidRPr="00A746CB" w:rsidRDefault="0053369E" w:rsidP="0053369E">
      <w:pPr>
        <w:spacing w:line="240" w:lineRule="auto"/>
      </w:pPr>
      <w:r>
        <w:t xml:space="preserve">FROM RIFT TO DRIFT AND </w:t>
      </w:r>
      <w:r w:rsidRPr="00A746CB">
        <w:t>WEST</w:t>
      </w:r>
      <w:r>
        <w:t>-</w:t>
      </w:r>
      <w:r w:rsidRPr="00A746CB">
        <w:t>MEDITERRANEAN-TYRRHENIAN</w:t>
      </w:r>
      <w:r>
        <w:t xml:space="preserve"> TECTONIC SETTING: A REVIEW</w:t>
      </w:r>
    </w:p>
    <w:p w:rsidR="005227BA" w:rsidRPr="00A746CB" w:rsidRDefault="005227BA" w:rsidP="005227BA">
      <w:pPr>
        <w:spacing w:line="240" w:lineRule="auto"/>
      </w:pPr>
    </w:p>
    <w:p w:rsidR="00A451C4" w:rsidRPr="00A746CB" w:rsidRDefault="00A451C4" w:rsidP="00312C35">
      <w:pPr>
        <w:spacing w:line="240" w:lineRule="auto"/>
        <w:rPr>
          <w:szCs w:val="23"/>
          <w:lang w:val="it-IT"/>
        </w:rPr>
      </w:pPr>
      <w:r w:rsidRPr="00A746CB">
        <w:rPr>
          <w:szCs w:val="23"/>
          <w:lang w:val="it-IT"/>
        </w:rPr>
        <w:t>Carlo Savelli</w:t>
      </w:r>
      <w:r w:rsidR="00116466" w:rsidRPr="00A746CB">
        <w:rPr>
          <w:lang w:val="it-IT"/>
        </w:rPr>
        <w:t xml:space="preserve"> </w:t>
      </w:r>
    </w:p>
    <w:p w:rsidR="00A451C4" w:rsidRPr="00A746CB" w:rsidRDefault="00A451C4" w:rsidP="00D63C2A">
      <w:pPr>
        <w:spacing w:line="240" w:lineRule="auto"/>
        <w:rPr>
          <w:szCs w:val="23"/>
          <w:lang w:val="it-IT"/>
        </w:rPr>
      </w:pPr>
      <w:r w:rsidRPr="00A746CB">
        <w:rPr>
          <w:szCs w:val="23"/>
          <w:lang w:val="it-IT"/>
        </w:rPr>
        <w:t>Consiglio Nazionale delle Ricerche, Istituto di Scienze del Mare, via P. Gobetti, 101, 401</w:t>
      </w:r>
      <w:r w:rsidR="00C44EA2" w:rsidRPr="00A746CB">
        <w:rPr>
          <w:szCs w:val="23"/>
          <w:lang w:val="it-IT"/>
        </w:rPr>
        <w:t>29</w:t>
      </w:r>
      <w:r w:rsidRPr="00A746CB">
        <w:rPr>
          <w:szCs w:val="23"/>
          <w:lang w:val="it-IT"/>
        </w:rPr>
        <w:t>, Bologna, Italy</w:t>
      </w:r>
    </w:p>
    <w:p w:rsidR="00A451C4" w:rsidRPr="00A746CB" w:rsidRDefault="00A451C4" w:rsidP="00D63C2A">
      <w:pPr>
        <w:spacing w:line="240" w:lineRule="auto"/>
        <w:rPr>
          <w:szCs w:val="23"/>
        </w:rPr>
      </w:pPr>
      <w:r w:rsidRPr="00A746CB">
        <w:rPr>
          <w:szCs w:val="23"/>
        </w:rPr>
        <w:t>E-mail address: carlo.savelli@bo.ismar.cnr.it</w:t>
      </w:r>
    </w:p>
    <w:p w:rsidR="00107D9A" w:rsidRDefault="00107D9A" w:rsidP="008C4DE6">
      <w:pPr>
        <w:spacing w:line="240" w:lineRule="auto"/>
        <w:rPr>
          <w:szCs w:val="23"/>
        </w:rPr>
      </w:pPr>
    </w:p>
    <w:p w:rsidR="00016402" w:rsidRDefault="005C16B6" w:rsidP="00016402">
      <w:pPr>
        <w:spacing w:line="240" w:lineRule="auto"/>
        <w:rPr>
          <w:szCs w:val="23"/>
        </w:rPr>
      </w:pPr>
      <w:r>
        <w:rPr>
          <w:szCs w:val="23"/>
        </w:rPr>
        <w:t>Pre-</w:t>
      </w:r>
      <w:r w:rsidR="000750DA">
        <w:rPr>
          <w:szCs w:val="23"/>
        </w:rPr>
        <w:t xml:space="preserve">Oligocene, </w:t>
      </w:r>
      <w:r w:rsidR="000750DA" w:rsidRPr="00A746CB">
        <w:rPr>
          <w:szCs w:val="23"/>
        </w:rPr>
        <w:t xml:space="preserve">SE-directed </w:t>
      </w:r>
      <w:r w:rsidR="000750DA">
        <w:rPr>
          <w:szCs w:val="23"/>
        </w:rPr>
        <w:t xml:space="preserve">flat </w:t>
      </w:r>
      <w:r w:rsidR="000750DA" w:rsidRPr="00A746CB">
        <w:rPr>
          <w:szCs w:val="23"/>
        </w:rPr>
        <w:t xml:space="preserve">subduction of European plate produced </w:t>
      </w:r>
      <w:r w:rsidR="000750DA">
        <w:rPr>
          <w:szCs w:val="23"/>
        </w:rPr>
        <w:t xml:space="preserve">the </w:t>
      </w:r>
      <w:r w:rsidR="000750DA" w:rsidRPr="00A746CB">
        <w:rPr>
          <w:szCs w:val="23"/>
        </w:rPr>
        <w:t>submerged orogen</w:t>
      </w:r>
      <w:r w:rsidR="000750DA">
        <w:rPr>
          <w:szCs w:val="23"/>
        </w:rPr>
        <w:t xml:space="preserve"> of </w:t>
      </w:r>
      <w:r w:rsidR="00550271">
        <w:rPr>
          <w:szCs w:val="23"/>
        </w:rPr>
        <w:t xml:space="preserve">the </w:t>
      </w:r>
      <w:r w:rsidR="000750DA" w:rsidRPr="00A746CB">
        <w:t>West</w:t>
      </w:r>
      <w:r w:rsidR="000750DA">
        <w:t>-</w:t>
      </w:r>
      <w:r w:rsidR="000A0336">
        <w:t>Mediterranean-Tyrrhenian r</w:t>
      </w:r>
      <w:r w:rsidR="000750DA" w:rsidRPr="00A746CB">
        <w:t>egion</w:t>
      </w:r>
      <w:r w:rsidR="000750DA">
        <w:t xml:space="preserve">. </w:t>
      </w:r>
      <w:r w:rsidR="000750DA" w:rsidRPr="00A746CB">
        <w:rPr>
          <w:szCs w:val="23"/>
        </w:rPr>
        <w:t>WNW</w:t>
      </w:r>
      <w:r w:rsidR="000750DA">
        <w:rPr>
          <w:szCs w:val="23"/>
        </w:rPr>
        <w:t>-directed</w:t>
      </w:r>
      <w:r w:rsidR="000750DA" w:rsidRPr="00A746CB">
        <w:rPr>
          <w:szCs w:val="23"/>
        </w:rPr>
        <w:t xml:space="preserve"> </w:t>
      </w:r>
      <w:r w:rsidR="000750DA">
        <w:rPr>
          <w:szCs w:val="23"/>
        </w:rPr>
        <w:t xml:space="preserve">steep </w:t>
      </w:r>
      <w:r w:rsidR="000750DA" w:rsidRPr="00A746CB">
        <w:rPr>
          <w:szCs w:val="23"/>
        </w:rPr>
        <w:t xml:space="preserve">subduction </w:t>
      </w:r>
      <w:r w:rsidR="000750DA">
        <w:rPr>
          <w:szCs w:val="23"/>
        </w:rPr>
        <w:t>of African plate accompanied the late Miocene-Recent oceanic opening</w:t>
      </w:r>
      <w:r w:rsidR="000750DA" w:rsidRPr="006D05ED">
        <w:rPr>
          <w:szCs w:val="23"/>
        </w:rPr>
        <w:t xml:space="preserve"> </w:t>
      </w:r>
      <w:r w:rsidR="000750DA">
        <w:rPr>
          <w:szCs w:val="23"/>
        </w:rPr>
        <w:t xml:space="preserve">of </w:t>
      </w:r>
      <w:r w:rsidR="000750DA" w:rsidRPr="00A746CB">
        <w:rPr>
          <w:szCs w:val="23"/>
        </w:rPr>
        <w:t>Tyrrhenian</w:t>
      </w:r>
      <w:r w:rsidR="000750DA">
        <w:rPr>
          <w:szCs w:val="23"/>
        </w:rPr>
        <w:t xml:space="preserve"> basin, eastern part </w:t>
      </w:r>
      <w:r w:rsidR="000750DA" w:rsidRPr="00A746CB">
        <w:rPr>
          <w:szCs w:val="23"/>
        </w:rPr>
        <w:t>of submerged orogen</w:t>
      </w:r>
      <w:r w:rsidR="000750DA">
        <w:rPr>
          <w:szCs w:val="23"/>
        </w:rPr>
        <w:t>. Post-orogenic</w:t>
      </w:r>
      <w:r w:rsidR="0090281F">
        <w:rPr>
          <w:szCs w:val="23"/>
        </w:rPr>
        <w:t xml:space="preserve"> rift-related</w:t>
      </w:r>
      <w:r w:rsidR="000750DA">
        <w:rPr>
          <w:szCs w:val="23"/>
        </w:rPr>
        <w:t xml:space="preserve"> extension and </w:t>
      </w:r>
      <w:r w:rsidR="000750DA" w:rsidRPr="00A746CB">
        <w:rPr>
          <w:szCs w:val="23"/>
        </w:rPr>
        <w:t xml:space="preserve">calc-alkaline </w:t>
      </w:r>
      <w:r w:rsidR="000750DA">
        <w:rPr>
          <w:szCs w:val="23"/>
        </w:rPr>
        <w:t xml:space="preserve">volcanism initiated in the </w:t>
      </w:r>
      <w:r w:rsidR="000750DA" w:rsidRPr="00A746CB">
        <w:rPr>
          <w:szCs w:val="23"/>
        </w:rPr>
        <w:t>Oligo</w:t>
      </w:r>
      <w:r w:rsidR="000750DA">
        <w:rPr>
          <w:szCs w:val="23"/>
        </w:rPr>
        <w:t xml:space="preserve">cene </w:t>
      </w:r>
      <w:r w:rsidR="008C4DE6">
        <w:rPr>
          <w:szCs w:val="23"/>
        </w:rPr>
        <w:t>reached, in the Burdigalian, the stage</w:t>
      </w:r>
      <w:r w:rsidR="008C4DE6" w:rsidRPr="00A746CB">
        <w:rPr>
          <w:szCs w:val="23"/>
        </w:rPr>
        <w:t xml:space="preserve"> </w:t>
      </w:r>
      <w:r w:rsidR="008C4DE6">
        <w:rPr>
          <w:szCs w:val="23"/>
        </w:rPr>
        <w:t xml:space="preserve">of </w:t>
      </w:r>
      <w:r w:rsidR="008C4DE6" w:rsidRPr="00A746CB">
        <w:rPr>
          <w:szCs w:val="23"/>
        </w:rPr>
        <w:t xml:space="preserve">oceanic </w:t>
      </w:r>
      <w:r w:rsidR="008C4DE6">
        <w:rPr>
          <w:szCs w:val="23"/>
        </w:rPr>
        <w:t>opening</w:t>
      </w:r>
      <w:r w:rsidR="0090281F">
        <w:rPr>
          <w:szCs w:val="23"/>
        </w:rPr>
        <w:t>.</w:t>
      </w:r>
      <w:r w:rsidR="008C4DE6" w:rsidRPr="00A746CB">
        <w:rPr>
          <w:szCs w:val="23"/>
        </w:rPr>
        <w:t xml:space="preserve"> </w:t>
      </w:r>
      <w:r w:rsidR="0090281F">
        <w:rPr>
          <w:szCs w:val="23"/>
        </w:rPr>
        <w:t>I</w:t>
      </w:r>
      <w:r w:rsidR="008C4DE6">
        <w:rPr>
          <w:szCs w:val="23"/>
        </w:rPr>
        <w:t xml:space="preserve">n the </w:t>
      </w:r>
      <w:r w:rsidR="00B228FB">
        <w:rPr>
          <w:szCs w:val="23"/>
        </w:rPr>
        <w:t>Hercynian lithosphere of southern Europe</w:t>
      </w:r>
      <w:r w:rsidR="008C4DE6" w:rsidRPr="00A746CB">
        <w:rPr>
          <w:szCs w:val="23"/>
        </w:rPr>
        <w:t xml:space="preserve"> </w:t>
      </w:r>
      <w:r w:rsidR="0090281F" w:rsidRPr="00A746CB">
        <w:rPr>
          <w:szCs w:val="23"/>
        </w:rPr>
        <w:t xml:space="preserve">and </w:t>
      </w:r>
      <w:r w:rsidR="0090281F">
        <w:rPr>
          <w:szCs w:val="23"/>
        </w:rPr>
        <w:t xml:space="preserve">the </w:t>
      </w:r>
      <w:r w:rsidR="0090281F" w:rsidRPr="00A746CB">
        <w:rPr>
          <w:szCs w:val="23"/>
        </w:rPr>
        <w:t xml:space="preserve">western part of submerged orogen </w:t>
      </w:r>
      <w:r w:rsidR="0090281F">
        <w:rPr>
          <w:szCs w:val="23"/>
        </w:rPr>
        <w:t xml:space="preserve">formed, respectively, the </w:t>
      </w:r>
      <w:r w:rsidR="008C4DE6" w:rsidRPr="00A746CB">
        <w:rPr>
          <w:szCs w:val="23"/>
        </w:rPr>
        <w:t>Sardinia-Provence</w:t>
      </w:r>
      <w:r w:rsidR="0090281F">
        <w:rPr>
          <w:szCs w:val="23"/>
        </w:rPr>
        <w:t xml:space="preserve"> and</w:t>
      </w:r>
      <w:r w:rsidR="008C4DE6" w:rsidRPr="00A746CB">
        <w:rPr>
          <w:szCs w:val="23"/>
        </w:rPr>
        <w:t xml:space="preserve"> </w:t>
      </w:r>
      <w:r w:rsidR="0090281F">
        <w:rPr>
          <w:szCs w:val="23"/>
        </w:rPr>
        <w:t xml:space="preserve">the </w:t>
      </w:r>
      <w:r w:rsidR="008C4DE6" w:rsidRPr="00A746CB">
        <w:rPr>
          <w:szCs w:val="23"/>
        </w:rPr>
        <w:t xml:space="preserve">north Algeria </w:t>
      </w:r>
      <w:r w:rsidR="0090281F">
        <w:rPr>
          <w:szCs w:val="23"/>
        </w:rPr>
        <w:t>bathyal plains</w:t>
      </w:r>
      <w:r w:rsidR="008C4DE6">
        <w:rPr>
          <w:szCs w:val="23"/>
        </w:rPr>
        <w:t>.</w:t>
      </w:r>
      <w:r w:rsidR="008C4DE6" w:rsidRPr="00A746CB">
        <w:rPr>
          <w:szCs w:val="23"/>
        </w:rPr>
        <w:t xml:space="preserve"> </w:t>
      </w:r>
      <w:r w:rsidR="008C4DE6">
        <w:rPr>
          <w:szCs w:val="23"/>
        </w:rPr>
        <w:t>During</w:t>
      </w:r>
      <w:r w:rsidR="008C4DE6" w:rsidRPr="00A746CB">
        <w:rPr>
          <w:szCs w:val="23"/>
        </w:rPr>
        <w:t xml:space="preserve"> the Burdigalian, </w:t>
      </w:r>
      <w:r w:rsidR="008C4DE6">
        <w:rPr>
          <w:szCs w:val="23"/>
        </w:rPr>
        <w:t>volcanism</w:t>
      </w:r>
      <w:r w:rsidR="008C4DE6" w:rsidRPr="00A746CB">
        <w:rPr>
          <w:szCs w:val="23"/>
        </w:rPr>
        <w:t xml:space="preserve"> of calc-alkaline type </w:t>
      </w:r>
      <w:r w:rsidR="008C4DE6">
        <w:rPr>
          <w:szCs w:val="23"/>
        </w:rPr>
        <w:t>has been widespread</w:t>
      </w:r>
      <w:r w:rsidR="008C4DE6" w:rsidRPr="00A746CB">
        <w:rPr>
          <w:szCs w:val="23"/>
        </w:rPr>
        <w:t xml:space="preserve"> in the </w:t>
      </w:r>
      <w:r w:rsidR="000A0336">
        <w:rPr>
          <w:szCs w:val="23"/>
        </w:rPr>
        <w:t>margins</w:t>
      </w:r>
      <w:r w:rsidR="008C4DE6">
        <w:rPr>
          <w:szCs w:val="23"/>
        </w:rPr>
        <w:t xml:space="preserve"> of the two </w:t>
      </w:r>
      <w:r w:rsidR="0090281F">
        <w:rPr>
          <w:szCs w:val="23"/>
        </w:rPr>
        <w:t>oceanic basins</w:t>
      </w:r>
      <w:r w:rsidR="008C4DE6" w:rsidRPr="00A746CB">
        <w:rPr>
          <w:szCs w:val="23"/>
        </w:rPr>
        <w:t xml:space="preserve">. </w:t>
      </w:r>
      <w:r w:rsidR="00B607EB" w:rsidRPr="002A39A7">
        <w:rPr>
          <w:szCs w:val="23"/>
        </w:rPr>
        <w:t xml:space="preserve">The late Miocene and late Pliocene </w:t>
      </w:r>
      <w:r w:rsidR="0090281F">
        <w:rPr>
          <w:szCs w:val="23"/>
        </w:rPr>
        <w:t xml:space="preserve">drift </w:t>
      </w:r>
      <w:r w:rsidR="00B607EB" w:rsidRPr="002A39A7">
        <w:rPr>
          <w:szCs w:val="23"/>
        </w:rPr>
        <w:t xml:space="preserve">episodes </w:t>
      </w:r>
      <w:r w:rsidR="00B607EB">
        <w:rPr>
          <w:szCs w:val="23"/>
        </w:rPr>
        <w:t>of</w:t>
      </w:r>
      <w:r w:rsidR="00B607EB" w:rsidRPr="002A39A7">
        <w:rPr>
          <w:szCs w:val="23"/>
        </w:rPr>
        <w:t xml:space="preserve"> the bathyal plains of Vavilov and Marsili occurred, on the contrary, when volcanism has been absent or scarce </w:t>
      </w:r>
      <w:r w:rsidR="00B607EB">
        <w:rPr>
          <w:szCs w:val="23"/>
        </w:rPr>
        <w:t xml:space="preserve">in the </w:t>
      </w:r>
      <w:r w:rsidR="00B607EB" w:rsidRPr="002A39A7">
        <w:rPr>
          <w:szCs w:val="23"/>
        </w:rPr>
        <w:t xml:space="preserve">Tyrrhenian </w:t>
      </w:r>
      <w:r w:rsidR="00B607EB">
        <w:rPr>
          <w:szCs w:val="23"/>
        </w:rPr>
        <w:t>Sea margins</w:t>
      </w:r>
      <w:r w:rsidR="008C4DE6">
        <w:rPr>
          <w:szCs w:val="23"/>
        </w:rPr>
        <w:t>.</w:t>
      </w:r>
      <w:r w:rsidR="008C4DE6" w:rsidRPr="00A746CB">
        <w:rPr>
          <w:szCs w:val="23"/>
        </w:rPr>
        <w:t xml:space="preserve"> </w:t>
      </w:r>
      <w:r w:rsidR="008C4DE6">
        <w:rPr>
          <w:szCs w:val="23"/>
        </w:rPr>
        <w:t>The contrast between abundance and lack of volcanism</w:t>
      </w:r>
      <w:r w:rsidR="008C4DE6" w:rsidRPr="00167F7B">
        <w:rPr>
          <w:szCs w:val="23"/>
        </w:rPr>
        <w:t xml:space="preserve"> </w:t>
      </w:r>
      <w:r w:rsidR="000A0336">
        <w:rPr>
          <w:szCs w:val="23"/>
        </w:rPr>
        <w:t>in</w:t>
      </w:r>
      <w:r w:rsidR="008C4DE6">
        <w:rPr>
          <w:szCs w:val="23"/>
        </w:rPr>
        <w:t xml:space="preserve"> the </w:t>
      </w:r>
      <w:r w:rsidR="000A0336">
        <w:rPr>
          <w:szCs w:val="23"/>
        </w:rPr>
        <w:t>margins</w:t>
      </w:r>
      <w:r w:rsidR="008C4DE6">
        <w:rPr>
          <w:szCs w:val="23"/>
        </w:rPr>
        <w:t xml:space="preserve">, at various times of </w:t>
      </w:r>
      <w:r w:rsidR="00B228FB">
        <w:rPr>
          <w:szCs w:val="23"/>
        </w:rPr>
        <w:t>rift-</w:t>
      </w:r>
      <w:r w:rsidR="00140581">
        <w:rPr>
          <w:szCs w:val="23"/>
        </w:rPr>
        <w:t xml:space="preserve">drift </w:t>
      </w:r>
      <w:r w:rsidR="00B228FB">
        <w:rPr>
          <w:szCs w:val="23"/>
        </w:rPr>
        <w:t>transition</w:t>
      </w:r>
      <w:r w:rsidR="008C4DE6">
        <w:rPr>
          <w:szCs w:val="23"/>
        </w:rPr>
        <w:t xml:space="preserve">, </w:t>
      </w:r>
      <w:r w:rsidR="00B228FB">
        <w:rPr>
          <w:szCs w:val="23"/>
        </w:rPr>
        <w:t>is interpreted to</w:t>
      </w:r>
      <w:r w:rsidR="008C4DE6" w:rsidRPr="00A746CB">
        <w:rPr>
          <w:szCs w:val="23"/>
        </w:rPr>
        <w:t xml:space="preserve"> indicate </w:t>
      </w:r>
      <w:r w:rsidR="00550271">
        <w:rPr>
          <w:szCs w:val="23"/>
        </w:rPr>
        <w:t>diversity</w:t>
      </w:r>
      <w:r w:rsidR="00B228FB">
        <w:rPr>
          <w:szCs w:val="23"/>
        </w:rPr>
        <w:t xml:space="preserve"> of </w:t>
      </w:r>
      <w:r w:rsidR="008C4DE6" w:rsidRPr="00A746CB">
        <w:rPr>
          <w:szCs w:val="23"/>
        </w:rPr>
        <w:t xml:space="preserve">tectonic setting. </w:t>
      </w:r>
      <w:r w:rsidR="00B228FB">
        <w:rPr>
          <w:szCs w:val="23"/>
        </w:rPr>
        <w:t>I</w:t>
      </w:r>
      <w:r w:rsidR="008C4DE6" w:rsidRPr="00A746CB">
        <w:rPr>
          <w:szCs w:val="23"/>
        </w:rPr>
        <w:t>n the Oligo</w:t>
      </w:r>
      <w:r w:rsidR="008C4DE6">
        <w:rPr>
          <w:szCs w:val="23"/>
        </w:rPr>
        <w:t xml:space="preserve">-Burdigalian, </w:t>
      </w:r>
      <w:r w:rsidR="00140581">
        <w:rPr>
          <w:szCs w:val="23"/>
        </w:rPr>
        <w:t>drifting</w:t>
      </w:r>
      <w:r w:rsidR="008C4DE6">
        <w:rPr>
          <w:szCs w:val="23"/>
        </w:rPr>
        <w:t xml:space="preserve"> and </w:t>
      </w:r>
      <w:r w:rsidR="008C4DE6" w:rsidRPr="00A746CB">
        <w:rPr>
          <w:szCs w:val="23"/>
        </w:rPr>
        <w:t xml:space="preserve">calc-alkaline </w:t>
      </w:r>
      <w:r w:rsidR="008C4DE6">
        <w:rPr>
          <w:szCs w:val="23"/>
        </w:rPr>
        <w:t>volcanism</w:t>
      </w:r>
      <w:r w:rsidR="008C4DE6" w:rsidRPr="00A746CB">
        <w:rPr>
          <w:szCs w:val="23"/>
        </w:rPr>
        <w:t xml:space="preserve"> </w:t>
      </w:r>
      <w:r w:rsidR="008C4DE6">
        <w:rPr>
          <w:szCs w:val="23"/>
        </w:rPr>
        <w:t>took place in the absence of subduction</w:t>
      </w:r>
      <w:r w:rsidR="00550271">
        <w:rPr>
          <w:szCs w:val="23"/>
        </w:rPr>
        <w:t>.</w:t>
      </w:r>
      <w:r w:rsidR="008C4DE6">
        <w:rPr>
          <w:szCs w:val="23"/>
        </w:rPr>
        <w:t xml:space="preserve"> </w:t>
      </w:r>
      <w:r w:rsidR="00550271">
        <w:rPr>
          <w:szCs w:val="23"/>
        </w:rPr>
        <w:t xml:space="preserve">The </w:t>
      </w:r>
      <w:r w:rsidR="008C4DE6" w:rsidRPr="00A746CB">
        <w:rPr>
          <w:szCs w:val="23"/>
        </w:rPr>
        <w:t>WNW</w:t>
      </w:r>
      <w:r w:rsidR="008C4DE6">
        <w:rPr>
          <w:szCs w:val="23"/>
        </w:rPr>
        <w:t>-directed,</w:t>
      </w:r>
      <w:r w:rsidR="008C4DE6" w:rsidRPr="00A746CB">
        <w:rPr>
          <w:szCs w:val="23"/>
        </w:rPr>
        <w:t xml:space="preserve"> </w:t>
      </w:r>
      <w:r w:rsidR="008C4DE6">
        <w:rPr>
          <w:szCs w:val="23"/>
        </w:rPr>
        <w:t xml:space="preserve">steep </w:t>
      </w:r>
      <w:r w:rsidR="008C4DE6" w:rsidRPr="00A746CB">
        <w:rPr>
          <w:szCs w:val="23"/>
        </w:rPr>
        <w:t>subduction under the Tyrrhenian orogen</w:t>
      </w:r>
      <w:r w:rsidR="008C4DE6">
        <w:rPr>
          <w:szCs w:val="23"/>
        </w:rPr>
        <w:t xml:space="preserve"> </w:t>
      </w:r>
      <w:r w:rsidR="008C4DE6" w:rsidRPr="00A746CB">
        <w:rPr>
          <w:szCs w:val="23"/>
        </w:rPr>
        <w:t>commence</w:t>
      </w:r>
      <w:r w:rsidR="008C4DE6">
        <w:rPr>
          <w:szCs w:val="23"/>
        </w:rPr>
        <w:t>d, pr</w:t>
      </w:r>
      <w:r w:rsidR="008C4DE6" w:rsidRPr="00A746CB">
        <w:rPr>
          <w:szCs w:val="23"/>
        </w:rPr>
        <w:t>o</w:t>
      </w:r>
      <w:r w:rsidR="008C4DE6">
        <w:rPr>
          <w:szCs w:val="23"/>
        </w:rPr>
        <w:t>ba</w:t>
      </w:r>
      <w:r w:rsidR="008C4DE6" w:rsidRPr="00A746CB">
        <w:rPr>
          <w:szCs w:val="23"/>
        </w:rPr>
        <w:t>bly</w:t>
      </w:r>
      <w:r w:rsidR="008C4DE6">
        <w:rPr>
          <w:szCs w:val="23"/>
        </w:rPr>
        <w:t>,</w:t>
      </w:r>
      <w:r w:rsidR="008C4DE6" w:rsidRPr="00A746CB">
        <w:rPr>
          <w:szCs w:val="23"/>
        </w:rPr>
        <w:t xml:space="preserve"> </w:t>
      </w:r>
      <w:r w:rsidR="008C4DE6">
        <w:rPr>
          <w:szCs w:val="23"/>
        </w:rPr>
        <w:t>at 16/15 Ma</w:t>
      </w:r>
      <w:r w:rsidR="008C4DE6" w:rsidRPr="00A746CB">
        <w:rPr>
          <w:szCs w:val="23"/>
        </w:rPr>
        <w:t xml:space="preserve"> </w:t>
      </w:r>
      <w:r w:rsidR="008C4DE6">
        <w:rPr>
          <w:szCs w:val="23"/>
        </w:rPr>
        <w:t>(</w:t>
      </w:r>
      <w:r w:rsidR="008C4DE6" w:rsidRPr="00A746CB">
        <w:rPr>
          <w:szCs w:val="23"/>
        </w:rPr>
        <w:t xml:space="preserve">the </w:t>
      </w:r>
      <w:r w:rsidR="008C4DE6">
        <w:rPr>
          <w:szCs w:val="23"/>
        </w:rPr>
        <w:t>waning of Burdigalian spreading)</w:t>
      </w:r>
      <w:r w:rsidR="008C4DE6" w:rsidRPr="00A746CB">
        <w:rPr>
          <w:szCs w:val="23"/>
        </w:rPr>
        <w:t>.</w:t>
      </w:r>
      <w:r w:rsidR="008C4DE6">
        <w:rPr>
          <w:szCs w:val="23"/>
        </w:rPr>
        <w:t xml:space="preserve"> The space-time </w:t>
      </w:r>
      <w:r w:rsidR="000750DA">
        <w:rPr>
          <w:szCs w:val="23"/>
        </w:rPr>
        <w:t>study</w:t>
      </w:r>
      <w:r w:rsidR="008C4DE6">
        <w:rPr>
          <w:szCs w:val="23"/>
        </w:rPr>
        <w:t xml:space="preserve"> indicate</w:t>
      </w:r>
      <w:r w:rsidR="000750DA">
        <w:rPr>
          <w:szCs w:val="23"/>
        </w:rPr>
        <w:t>s</w:t>
      </w:r>
      <w:r w:rsidR="008C4DE6">
        <w:rPr>
          <w:szCs w:val="23"/>
        </w:rPr>
        <w:t xml:space="preserve"> that </w:t>
      </w:r>
      <w:r w:rsidR="008C4DE6" w:rsidRPr="00A746CB">
        <w:rPr>
          <w:szCs w:val="23"/>
        </w:rPr>
        <w:t>calc-alkaline</w:t>
      </w:r>
      <w:r w:rsidR="008C4DE6">
        <w:rPr>
          <w:szCs w:val="23"/>
        </w:rPr>
        <w:t xml:space="preserve"> volcanism </w:t>
      </w:r>
      <w:r w:rsidR="003A0EE7">
        <w:rPr>
          <w:szCs w:val="23"/>
        </w:rPr>
        <w:t>and extension are</w:t>
      </w:r>
      <w:r w:rsidR="008C4DE6">
        <w:rPr>
          <w:szCs w:val="23"/>
        </w:rPr>
        <w:t xml:space="preserve"> not linked only to subduction.</w:t>
      </w:r>
    </w:p>
    <w:p w:rsidR="00845522" w:rsidRDefault="00845522" w:rsidP="00D63C2A">
      <w:pPr>
        <w:spacing w:line="240" w:lineRule="auto"/>
        <w:rPr>
          <w:szCs w:val="23"/>
        </w:rPr>
      </w:pPr>
    </w:p>
    <w:p w:rsidR="00F53C25" w:rsidRDefault="006A2FBA" w:rsidP="00D63C2A">
      <w:pPr>
        <w:spacing w:line="240" w:lineRule="auto"/>
        <w:rPr>
          <w:szCs w:val="23"/>
        </w:rPr>
      </w:pPr>
      <w:r>
        <w:rPr>
          <w:szCs w:val="23"/>
        </w:rPr>
        <w:t>Subject terms: Geology Tectonics</w:t>
      </w:r>
    </w:p>
    <w:p w:rsidR="00845522" w:rsidRPr="00A746CB" w:rsidRDefault="00845522" w:rsidP="00D63C2A">
      <w:pPr>
        <w:spacing w:line="240" w:lineRule="auto"/>
        <w:rPr>
          <w:szCs w:val="23"/>
        </w:rPr>
      </w:pPr>
    </w:p>
    <w:p w:rsidR="00331A8E" w:rsidRPr="0041665B" w:rsidRDefault="00331A8E" w:rsidP="00D63C2A">
      <w:pPr>
        <w:pStyle w:val="Testonormale1"/>
        <w:spacing w:line="240" w:lineRule="auto"/>
        <w:jc w:val="both"/>
        <w:rPr>
          <w:rFonts w:ascii="Times New Roman" w:hAnsi="Times New Roman" w:cs="Times New Roman"/>
          <w:b/>
          <w:sz w:val="28"/>
          <w:szCs w:val="28"/>
          <w:lang w:val="en-GB"/>
        </w:rPr>
      </w:pPr>
      <w:r w:rsidRPr="0041665B">
        <w:rPr>
          <w:rFonts w:ascii="Times New Roman" w:hAnsi="Times New Roman" w:cs="Times New Roman"/>
          <w:b/>
          <w:sz w:val="28"/>
          <w:szCs w:val="28"/>
          <w:lang w:val="en-GB"/>
        </w:rPr>
        <w:t>Introduction</w:t>
      </w:r>
    </w:p>
    <w:p w:rsidR="0041665B" w:rsidRDefault="0041665B" w:rsidP="00CB63F5">
      <w:pPr>
        <w:pStyle w:val="Nessunaspaziatura"/>
        <w:jc w:val="both"/>
        <w:rPr>
          <w:sz w:val="24"/>
        </w:rPr>
      </w:pPr>
    </w:p>
    <w:p w:rsidR="00845522" w:rsidRPr="00A746CB" w:rsidRDefault="00CB63F5" w:rsidP="00845522">
      <w:pPr>
        <w:spacing w:line="240" w:lineRule="auto"/>
        <w:ind w:firstLine="720"/>
        <w:rPr>
          <w:szCs w:val="23"/>
        </w:rPr>
      </w:pPr>
      <w:r w:rsidRPr="00A746CB">
        <w:t>Extension</w:t>
      </w:r>
      <w:r w:rsidR="004D587A" w:rsidRPr="00A746CB">
        <w:t xml:space="preserve"> </w:t>
      </w:r>
      <w:r w:rsidR="006C3E9C" w:rsidRPr="00A746CB">
        <w:t>tectonic</w:t>
      </w:r>
      <w:r w:rsidR="004D587A" w:rsidRPr="00A746CB">
        <w:t>s</w:t>
      </w:r>
      <w:r w:rsidR="006C3E9C" w:rsidRPr="00A746CB">
        <w:t xml:space="preserve"> and </w:t>
      </w:r>
      <w:r w:rsidR="008C4DE6">
        <w:t>volcanism</w:t>
      </w:r>
      <w:r w:rsidR="00C64CCD" w:rsidRPr="00A746CB">
        <w:t xml:space="preserve"> of</w:t>
      </w:r>
      <w:r w:rsidR="00663FCF" w:rsidRPr="00A746CB">
        <w:t xml:space="preserve"> </w:t>
      </w:r>
      <w:r w:rsidR="004D587A" w:rsidRPr="00A746CB">
        <w:t xml:space="preserve">Oligocene-Recent </w:t>
      </w:r>
      <w:r w:rsidRPr="00A746CB">
        <w:t xml:space="preserve">age </w:t>
      </w:r>
      <w:r w:rsidR="00780C53">
        <w:t>of</w:t>
      </w:r>
      <w:r w:rsidRPr="00A746CB">
        <w:t xml:space="preserve"> the West-Mediterranean-Tyrrhenian </w:t>
      </w:r>
      <w:r w:rsidR="00A746CB" w:rsidRPr="00A746CB">
        <w:t>region</w:t>
      </w:r>
      <w:r w:rsidRPr="00A746CB">
        <w:t xml:space="preserve"> </w:t>
      </w:r>
      <w:r w:rsidR="004D587A" w:rsidRPr="00A746CB">
        <w:t>are</w:t>
      </w:r>
      <w:r w:rsidR="006C3E9C" w:rsidRPr="00A746CB">
        <w:t xml:space="preserve"> </w:t>
      </w:r>
      <w:r w:rsidR="00663FCF" w:rsidRPr="00A746CB">
        <w:t>a consequence of the interactions</w:t>
      </w:r>
      <w:r w:rsidR="00251EB0" w:rsidRPr="00A746CB">
        <w:rPr>
          <w:bCs/>
        </w:rPr>
        <w:t xml:space="preserve"> </w:t>
      </w:r>
      <w:r w:rsidR="00451983" w:rsidRPr="00A746CB">
        <w:rPr>
          <w:bCs/>
        </w:rPr>
        <w:t xml:space="preserve">between the </w:t>
      </w:r>
      <w:r w:rsidR="00674259" w:rsidRPr="00A746CB">
        <w:t xml:space="preserve">European and </w:t>
      </w:r>
      <w:r w:rsidR="00A532B4" w:rsidRPr="00A746CB">
        <w:t>African plates</w:t>
      </w:r>
      <w:r w:rsidR="002425AF">
        <w:t>. Figure 1</w:t>
      </w:r>
      <w:r w:rsidR="0037566C">
        <w:t xml:space="preserve"> </w:t>
      </w:r>
      <w:r w:rsidR="00341C50">
        <w:t>shows that</w:t>
      </w:r>
      <w:r w:rsidR="00915330" w:rsidRPr="00A746CB">
        <w:t xml:space="preserve"> </w:t>
      </w:r>
      <w:r w:rsidR="00384FDB">
        <w:rPr>
          <w:bCs/>
        </w:rPr>
        <w:t>SE-directed flat</w:t>
      </w:r>
      <w:r w:rsidR="0037566C">
        <w:rPr>
          <w:bCs/>
        </w:rPr>
        <w:t>-slab</w:t>
      </w:r>
      <w:r w:rsidR="00384FDB">
        <w:rPr>
          <w:bCs/>
        </w:rPr>
        <w:t xml:space="preserve"> (</w:t>
      </w:r>
      <w:r w:rsidR="00384FDB" w:rsidRPr="00A746CB">
        <w:t>Alpine-type</w:t>
      </w:r>
      <w:r w:rsidR="00384FDB">
        <w:t>)</w:t>
      </w:r>
      <w:r w:rsidR="00384FDB" w:rsidRPr="00A746CB">
        <w:t xml:space="preserve"> </w:t>
      </w:r>
      <w:r w:rsidR="00915330" w:rsidRPr="00A746CB">
        <w:rPr>
          <w:bCs/>
        </w:rPr>
        <w:t xml:space="preserve">subduction of </w:t>
      </w:r>
      <w:r w:rsidR="00384FDB">
        <w:rPr>
          <w:bCs/>
        </w:rPr>
        <w:t>European plate has</w:t>
      </w:r>
      <w:r w:rsidR="00915330" w:rsidRPr="00A746CB">
        <w:rPr>
          <w:bCs/>
        </w:rPr>
        <w:t xml:space="preserve"> been replaced by</w:t>
      </w:r>
      <w:r w:rsidR="00341C50">
        <w:t xml:space="preserve"> </w:t>
      </w:r>
      <w:r w:rsidR="005125B6" w:rsidRPr="00A746CB">
        <w:rPr>
          <w:bCs/>
        </w:rPr>
        <w:t>WNW-directed</w:t>
      </w:r>
      <w:r w:rsidR="002614BF" w:rsidRPr="00A746CB">
        <w:t xml:space="preserve"> </w:t>
      </w:r>
      <w:r w:rsidR="00384FDB">
        <w:t>steep</w:t>
      </w:r>
      <w:r w:rsidR="0037566C">
        <w:t>-slab</w:t>
      </w:r>
      <w:r w:rsidR="00384FDB">
        <w:t xml:space="preserve"> </w:t>
      </w:r>
      <w:r w:rsidR="00D67348">
        <w:rPr>
          <w:bCs/>
        </w:rPr>
        <w:t>(I</w:t>
      </w:r>
      <w:r w:rsidR="00D67348" w:rsidRPr="00A746CB">
        <w:t>sland-arc type</w:t>
      </w:r>
      <w:r w:rsidR="00D67348">
        <w:t>)</w:t>
      </w:r>
      <w:r w:rsidR="00D67348" w:rsidRPr="00A746CB">
        <w:t xml:space="preserve"> </w:t>
      </w:r>
      <w:r w:rsidR="00D67348" w:rsidRPr="00A746CB">
        <w:rPr>
          <w:bCs/>
        </w:rPr>
        <w:t xml:space="preserve">subduction </w:t>
      </w:r>
      <w:r w:rsidR="00D67348">
        <w:t>of African plate</w:t>
      </w:r>
      <w:r w:rsidR="00331A8E" w:rsidRPr="00A746CB">
        <w:t xml:space="preserve">. </w:t>
      </w:r>
      <w:r w:rsidR="00E23CE0" w:rsidRPr="00A746CB">
        <w:t>T</w:t>
      </w:r>
      <w:r w:rsidR="00A15C80" w:rsidRPr="00A746CB">
        <w:t xml:space="preserve">he </w:t>
      </w:r>
      <w:r w:rsidR="002614BF" w:rsidRPr="00A746CB">
        <w:t xml:space="preserve">former </w:t>
      </w:r>
      <w:r w:rsidR="002614BF" w:rsidRPr="00A746CB">
        <w:rPr>
          <w:bCs/>
        </w:rPr>
        <w:t>subduction</w:t>
      </w:r>
      <w:r w:rsidR="00E23CE0" w:rsidRPr="00A746CB">
        <w:rPr>
          <w:bCs/>
        </w:rPr>
        <w:t xml:space="preserve"> </w:t>
      </w:r>
      <w:r w:rsidR="00D67348">
        <w:rPr>
          <w:bCs/>
        </w:rPr>
        <w:t>led to</w:t>
      </w:r>
      <w:r w:rsidR="00E23CE0" w:rsidRPr="00A746CB">
        <w:rPr>
          <w:bCs/>
        </w:rPr>
        <w:t xml:space="preserve"> </w:t>
      </w:r>
      <w:r w:rsidR="006F25C6" w:rsidRPr="00A746CB">
        <w:rPr>
          <w:bCs/>
        </w:rPr>
        <w:t xml:space="preserve">the </w:t>
      </w:r>
      <w:r w:rsidR="006F25C6" w:rsidRPr="00A746CB">
        <w:t>Mediterranean</w:t>
      </w:r>
      <w:r w:rsidR="006F25C6" w:rsidRPr="00A746CB">
        <w:rPr>
          <w:bCs/>
        </w:rPr>
        <w:t xml:space="preserve"> submerged orogen of Alpine age (OAA</w:t>
      </w:r>
      <w:r w:rsidR="00384FDB">
        <w:rPr>
          <w:bCs/>
        </w:rPr>
        <w:t>)</w:t>
      </w:r>
      <w:r w:rsidR="008B5172" w:rsidRPr="00A746CB">
        <w:rPr>
          <w:bCs/>
        </w:rPr>
        <w:t xml:space="preserve"> </w:t>
      </w:r>
      <w:r w:rsidR="00384FDB">
        <w:rPr>
          <w:bCs/>
        </w:rPr>
        <w:t xml:space="preserve">in the </w:t>
      </w:r>
      <w:r w:rsidR="008B5172" w:rsidRPr="00A746CB">
        <w:t>Late Cretaceous-</w:t>
      </w:r>
      <w:r w:rsidR="00384FDB">
        <w:t>Eo</w:t>
      </w:r>
      <w:r w:rsidR="008B5172" w:rsidRPr="00A746CB">
        <w:t>cene</w:t>
      </w:r>
      <w:r w:rsidR="006F25C6" w:rsidRPr="00A746CB">
        <w:rPr>
          <w:bCs/>
        </w:rPr>
        <w:t>,</w:t>
      </w:r>
      <w:r w:rsidR="002614BF" w:rsidRPr="00A746CB">
        <w:rPr>
          <w:bCs/>
        </w:rPr>
        <w:t xml:space="preserve"> and the latter </w:t>
      </w:r>
      <w:r w:rsidR="00D67348">
        <w:rPr>
          <w:bCs/>
        </w:rPr>
        <w:t xml:space="preserve">produced </w:t>
      </w:r>
      <w:r w:rsidR="002E6769" w:rsidRPr="00A746CB">
        <w:t>basin opening</w:t>
      </w:r>
      <w:r w:rsidR="002614BF" w:rsidRPr="00A746CB">
        <w:t xml:space="preserve"> and </w:t>
      </w:r>
      <w:r w:rsidR="00384FDB">
        <w:t xml:space="preserve">slab </w:t>
      </w:r>
      <w:r w:rsidR="002614BF" w:rsidRPr="00A746CB">
        <w:t>roll-back</w:t>
      </w:r>
      <w:r w:rsidR="0013152A" w:rsidRPr="00A746CB">
        <w:t xml:space="preserve"> beneath the </w:t>
      </w:r>
      <w:r w:rsidR="00451983" w:rsidRPr="00A746CB">
        <w:t>Magh</w:t>
      </w:r>
      <w:r w:rsidR="00674259" w:rsidRPr="00A746CB">
        <w:t>rebid-Apennine</w:t>
      </w:r>
      <w:r w:rsidR="002E7BC0" w:rsidRPr="00A746CB">
        <w:t xml:space="preserve"> wedging</w:t>
      </w:r>
      <w:r w:rsidR="002614BF" w:rsidRPr="00A746CB">
        <w:rPr>
          <w:bCs/>
        </w:rPr>
        <w:t xml:space="preserve">. </w:t>
      </w:r>
      <w:r w:rsidR="006F25C6" w:rsidRPr="00A746CB">
        <w:rPr>
          <w:rStyle w:val="Enfasigrassetto"/>
          <w:b w:val="0"/>
          <w:szCs w:val="23"/>
        </w:rPr>
        <w:t xml:space="preserve">The </w:t>
      </w:r>
      <w:r w:rsidR="006F25C6" w:rsidRPr="00A746CB">
        <w:t xml:space="preserve">OAA </w:t>
      </w:r>
      <w:r w:rsidR="006F25C6" w:rsidRPr="00A746CB">
        <w:rPr>
          <w:rStyle w:val="Enfasigrassetto"/>
          <w:b w:val="0"/>
          <w:szCs w:val="23"/>
        </w:rPr>
        <w:t>extending</w:t>
      </w:r>
      <w:r w:rsidR="006F25C6" w:rsidRPr="00A746CB">
        <w:rPr>
          <w:rStyle w:val="Enfasigrassetto"/>
          <w:szCs w:val="23"/>
        </w:rPr>
        <w:t xml:space="preserve"> </w:t>
      </w:r>
      <w:r w:rsidR="006F25C6" w:rsidRPr="00A746CB">
        <w:t xml:space="preserve">from Alpine Corsica to the Betic cordillera (Fig. 2) was recognized as the westernmost branch of the western Alps related to </w:t>
      </w:r>
      <w:r w:rsidR="00E23CE0" w:rsidRPr="00A746CB">
        <w:t xml:space="preserve">the </w:t>
      </w:r>
      <w:r w:rsidR="006F25C6" w:rsidRPr="00A746CB">
        <w:t>closure</w:t>
      </w:r>
      <w:r w:rsidR="00541715">
        <w:t xml:space="preserve"> of the Mesozoic Alpine Tethys</w:t>
      </w:r>
      <w:r w:rsidR="00541715" w:rsidRPr="00341C50">
        <w:rPr>
          <w:b/>
          <w:color w:val="0070C0"/>
          <w:vertAlign w:val="superscript"/>
        </w:rPr>
        <w:t>2, 3, 4</w:t>
      </w:r>
      <w:r w:rsidR="00610089" w:rsidRPr="00341C50">
        <w:rPr>
          <w:b/>
          <w:bCs/>
          <w:color w:val="0070C0"/>
          <w:vertAlign w:val="superscript"/>
        </w:rPr>
        <w:t>, 5, 6</w:t>
      </w:r>
      <w:r w:rsidR="0067086D" w:rsidRPr="0067086D">
        <w:rPr>
          <w:b/>
          <w:bCs/>
        </w:rPr>
        <w:t>.</w:t>
      </w:r>
      <w:r w:rsidR="006F25C6" w:rsidRPr="00541715">
        <w:rPr>
          <w:b/>
        </w:rPr>
        <w:t xml:space="preserve"> </w:t>
      </w:r>
      <w:r w:rsidR="00E23CE0" w:rsidRPr="00A746CB">
        <w:rPr>
          <w:rStyle w:val="Enfasigrassetto"/>
          <w:b w:val="0"/>
          <w:szCs w:val="23"/>
        </w:rPr>
        <w:t xml:space="preserve">The </w:t>
      </w:r>
      <w:r w:rsidR="00752427">
        <w:rPr>
          <w:rStyle w:val="Enfasigrassetto"/>
          <w:b w:val="0"/>
          <w:szCs w:val="23"/>
        </w:rPr>
        <w:t>slab beneath</w:t>
      </w:r>
      <w:r w:rsidR="00A02B7D" w:rsidRPr="00A746CB">
        <w:rPr>
          <w:rStyle w:val="Enfasigrassetto"/>
          <w:b w:val="0"/>
          <w:szCs w:val="23"/>
        </w:rPr>
        <w:t xml:space="preserve"> </w:t>
      </w:r>
      <w:r w:rsidR="00752427">
        <w:rPr>
          <w:rStyle w:val="Enfasigrassetto"/>
          <w:b w:val="0"/>
          <w:szCs w:val="23"/>
        </w:rPr>
        <w:t xml:space="preserve">the south </w:t>
      </w:r>
      <w:r w:rsidR="00752427" w:rsidRPr="00A746CB">
        <w:t xml:space="preserve">Tyrrhenian </w:t>
      </w:r>
      <w:r w:rsidR="00752427">
        <w:rPr>
          <w:rStyle w:val="Enfasigrassetto"/>
          <w:b w:val="0"/>
          <w:szCs w:val="23"/>
        </w:rPr>
        <w:t>bathyal plain</w:t>
      </w:r>
      <w:r w:rsidR="00A02B7D">
        <w:rPr>
          <w:rStyle w:val="Enfasigrassetto"/>
          <w:szCs w:val="23"/>
        </w:rPr>
        <w:t xml:space="preserve"> </w:t>
      </w:r>
      <w:r w:rsidR="00702B91" w:rsidRPr="00702B91">
        <w:rPr>
          <w:rStyle w:val="Enfasigrassetto"/>
          <w:color w:val="0070C0"/>
          <w:szCs w:val="23"/>
          <w:vertAlign w:val="superscript"/>
        </w:rPr>
        <w:t>7</w:t>
      </w:r>
      <w:r w:rsidR="00702B91">
        <w:rPr>
          <w:rStyle w:val="Enfasigrassetto"/>
          <w:color w:val="0070C0"/>
          <w:szCs w:val="23"/>
          <w:vertAlign w:val="superscript"/>
        </w:rPr>
        <w:t xml:space="preserve"> </w:t>
      </w:r>
      <w:r w:rsidR="00752427">
        <w:rPr>
          <w:rStyle w:val="Enfasigrassetto"/>
          <w:b w:val="0"/>
          <w:szCs w:val="23"/>
        </w:rPr>
        <w:t>is</w:t>
      </w:r>
      <w:r w:rsidR="006F25C6" w:rsidRPr="00A746CB">
        <w:rPr>
          <w:rStyle w:val="Enfasigrassetto"/>
          <w:b w:val="0"/>
          <w:szCs w:val="23"/>
        </w:rPr>
        <w:t xml:space="preserve"> </w:t>
      </w:r>
      <w:r w:rsidR="008B5172" w:rsidRPr="00A746CB">
        <w:rPr>
          <w:rStyle w:val="Enfasigrassetto"/>
          <w:b w:val="0"/>
          <w:szCs w:val="23"/>
        </w:rPr>
        <w:t>accompanied</w:t>
      </w:r>
      <w:r w:rsidR="006F25C6" w:rsidRPr="00A746CB">
        <w:rPr>
          <w:rStyle w:val="Enfasigrassetto"/>
          <w:b w:val="0"/>
          <w:szCs w:val="23"/>
        </w:rPr>
        <w:t xml:space="preserve"> by</w:t>
      </w:r>
      <w:r w:rsidR="006F25C6" w:rsidRPr="00A746CB">
        <w:rPr>
          <w:rStyle w:val="Enfasigrassetto"/>
          <w:szCs w:val="23"/>
        </w:rPr>
        <w:t xml:space="preserve"> </w:t>
      </w:r>
      <w:r w:rsidR="00752427">
        <w:t>r</w:t>
      </w:r>
      <w:r w:rsidR="00752427" w:rsidRPr="00A746CB">
        <w:rPr>
          <w:rStyle w:val="Enfasigrassetto"/>
          <w:b w:val="0"/>
          <w:szCs w:val="23"/>
        </w:rPr>
        <w:t xml:space="preserve">elease of </w:t>
      </w:r>
      <w:r w:rsidR="00752427">
        <w:rPr>
          <w:rStyle w:val="Enfasigrassetto"/>
          <w:b w:val="0"/>
          <w:szCs w:val="23"/>
        </w:rPr>
        <w:t xml:space="preserve">500 km </w:t>
      </w:r>
      <w:r w:rsidR="00752427" w:rsidRPr="00A746CB">
        <w:rPr>
          <w:rStyle w:val="Enfasigrassetto"/>
          <w:b w:val="0"/>
          <w:szCs w:val="23"/>
        </w:rPr>
        <w:t>deep seismic energy</w:t>
      </w:r>
      <w:r w:rsidR="00752427">
        <w:rPr>
          <w:rStyle w:val="Enfasigrassetto"/>
          <w:b w:val="0"/>
          <w:szCs w:val="23"/>
        </w:rPr>
        <w:t>,</w:t>
      </w:r>
      <w:r w:rsidR="00752427" w:rsidRPr="00A746CB">
        <w:rPr>
          <w:rStyle w:val="Enfasigrassetto"/>
          <w:b w:val="0"/>
          <w:szCs w:val="23"/>
        </w:rPr>
        <w:t xml:space="preserve"> </w:t>
      </w:r>
      <w:r w:rsidR="006F25C6" w:rsidRPr="00A746CB">
        <w:t>high heat flow and positive gravity anomal</w:t>
      </w:r>
      <w:r w:rsidR="00AE61DE">
        <w:t>.</w:t>
      </w:r>
      <w:r w:rsidR="006F25C6" w:rsidRPr="00A746CB">
        <w:t xml:space="preserve"> </w:t>
      </w:r>
      <w:r w:rsidR="006002C7" w:rsidRPr="00A746CB">
        <w:t>R</w:t>
      </w:r>
      <w:r w:rsidR="006002C7" w:rsidRPr="00A746CB">
        <w:rPr>
          <w:color w:val="231F20"/>
        </w:rPr>
        <w:t>egional lithosphere models indicate crustal thi</w:t>
      </w:r>
      <w:r w:rsidR="00752427">
        <w:rPr>
          <w:color w:val="231F20"/>
        </w:rPr>
        <w:t xml:space="preserve">nning </w:t>
      </w:r>
      <w:r w:rsidR="006002C7" w:rsidRPr="00A746CB">
        <w:rPr>
          <w:color w:val="231F20"/>
        </w:rPr>
        <w:t>of &lt;10 km and a 30 km LID</w:t>
      </w:r>
      <w:r w:rsidR="00142BEE" w:rsidRPr="00142BEE">
        <w:t>.</w:t>
      </w:r>
      <w:r w:rsidR="00752427">
        <w:t xml:space="preserve"> </w:t>
      </w:r>
      <w:r w:rsidR="00B8281A">
        <w:t>V</w:t>
      </w:r>
      <w:r w:rsidR="00B8281A">
        <w:rPr>
          <w:rStyle w:val="Enfasigrassetto"/>
          <w:b w:val="0"/>
          <w:szCs w:val="23"/>
        </w:rPr>
        <w:t>arious</w:t>
      </w:r>
      <w:r w:rsidR="006F25C6" w:rsidRPr="00A746CB">
        <w:rPr>
          <w:rStyle w:val="Enfasigrassetto"/>
          <w:b w:val="0"/>
          <w:szCs w:val="23"/>
        </w:rPr>
        <w:t xml:space="preserve"> </w:t>
      </w:r>
      <w:r w:rsidR="006002C7" w:rsidRPr="00A746CB">
        <w:rPr>
          <w:rStyle w:val="Enfasigrassetto"/>
          <w:b w:val="0"/>
          <w:szCs w:val="23"/>
        </w:rPr>
        <w:t xml:space="preserve">seafloor </w:t>
      </w:r>
      <w:r w:rsidR="006F25C6" w:rsidRPr="00A746CB">
        <w:rPr>
          <w:rStyle w:val="Enfasigrassetto"/>
          <w:b w:val="0"/>
          <w:szCs w:val="23"/>
        </w:rPr>
        <w:t xml:space="preserve">mineral deposits of hydrothermal origin </w:t>
      </w:r>
      <w:r w:rsidR="00B8281A">
        <w:t>are present, too</w:t>
      </w:r>
      <w:r w:rsidR="003453E4" w:rsidRPr="003453E4">
        <w:rPr>
          <w:rStyle w:val="Enfasigrassetto"/>
          <w:color w:val="0070C0"/>
          <w:szCs w:val="23"/>
          <w:vertAlign w:val="superscript"/>
        </w:rPr>
        <w:t>8</w:t>
      </w:r>
      <w:r w:rsidR="00142BEE">
        <w:rPr>
          <w:rStyle w:val="Enfasigrassetto"/>
          <w:b w:val="0"/>
          <w:szCs w:val="23"/>
        </w:rPr>
        <w:t>.</w:t>
      </w:r>
      <w:r w:rsidR="00845522">
        <w:rPr>
          <w:rStyle w:val="Enfasigrassetto"/>
          <w:b w:val="0"/>
          <w:szCs w:val="23"/>
        </w:rPr>
        <w:t xml:space="preserve"> </w:t>
      </w:r>
      <w:r w:rsidR="00845522" w:rsidRPr="00A746CB">
        <w:rPr>
          <w:szCs w:val="23"/>
        </w:rPr>
        <w:t xml:space="preserve">Despite the young age, </w:t>
      </w:r>
      <w:r w:rsidR="00845522">
        <w:rPr>
          <w:szCs w:val="23"/>
        </w:rPr>
        <w:t>the W</w:t>
      </w:r>
      <w:r w:rsidR="00845522" w:rsidRPr="00A746CB">
        <w:rPr>
          <w:szCs w:val="23"/>
        </w:rPr>
        <w:t>est</w:t>
      </w:r>
      <w:r w:rsidR="00845522">
        <w:rPr>
          <w:szCs w:val="23"/>
        </w:rPr>
        <w:t>-</w:t>
      </w:r>
      <w:r w:rsidR="00845522" w:rsidRPr="00A746CB">
        <w:rPr>
          <w:szCs w:val="23"/>
        </w:rPr>
        <w:t xml:space="preserve">Mediterranean-Tyrrhenian </w:t>
      </w:r>
      <w:r w:rsidR="00845522">
        <w:rPr>
          <w:szCs w:val="23"/>
        </w:rPr>
        <w:t>region</w:t>
      </w:r>
      <w:r w:rsidR="00845522" w:rsidRPr="00A746CB">
        <w:rPr>
          <w:szCs w:val="23"/>
        </w:rPr>
        <w:t xml:space="preserve"> </w:t>
      </w:r>
      <w:r w:rsidR="00845522">
        <w:rPr>
          <w:szCs w:val="23"/>
        </w:rPr>
        <w:t>was subject of</w:t>
      </w:r>
      <w:r w:rsidR="00845522" w:rsidRPr="00A746CB">
        <w:rPr>
          <w:szCs w:val="23"/>
        </w:rPr>
        <w:t xml:space="preserve"> </w:t>
      </w:r>
      <w:r w:rsidR="00845522">
        <w:rPr>
          <w:szCs w:val="23"/>
        </w:rPr>
        <w:t xml:space="preserve">various tectonic </w:t>
      </w:r>
      <w:r w:rsidR="00845522" w:rsidRPr="00A746CB">
        <w:rPr>
          <w:szCs w:val="23"/>
        </w:rPr>
        <w:t>interpretations</w:t>
      </w:r>
      <w:r w:rsidR="00845522">
        <w:rPr>
          <w:szCs w:val="23"/>
        </w:rPr>
        <w:t xml:space="preserve"> (see </w:t>
      </w:r>
      <w:r w:rsidR="00845522" w:rsidRPr="00543CFD">
        <w:rPr>
          <w:i/>
          <w:szCs w:val="23"/>
        </w:rPr>
        <w:t xml:space="preserve">Supplementary </w:t>
      </w:r>
      <w:r w:rsidR="00845522">
        <w:rPr>
          <w:i/>
          <w:szCs w:val="23"/>
        </w:rPr>
        <w:t xml:space="preserve">Info </w:t>
      </w:r>
      <w:r w:rsidR="00845522" w:rsidRPr="00543CFD">
        <w:rPr>
          <w:i/>
          <w:szCs w:val="23"/>
        </w:rPr>
        <w:t>S1</w:t>
      </w:r>
      <w:r w:rsidR="00845522">
        <w:rPr>
          <w:szCs w:val="23"/>
        </w:rPr>
        <w:t>).</w:t>
      </w:r>
      <w:r w:rsidR="00845522" w:rsidRPr="00A746CB">
        <w:rPr>
          <w:szCs w:val="23"/>
        </w:rPr>
        <w:t xml:space="preserve"> </w:t>
      </w:r>
    </w:p>
    <w:p w:rsidR="00A778D6" w:rsidRDefault="00267090" w:rsidP="00B901E1">
      <w:pPr>
        <w:pStyle w:val="Testonormale"/>
        <w:spacing w:line="240" w:lineRule="auto"/>
        <w:ind w:firstLine="567"/>
        <w:jc w:val="both"/>
        <w:rPr>
          <w:rFonts w:ascii="Times New Roman" w:hAnsi="Times New Roman" w:cs="Times New Roman"/>
          <w:sz w:val="24"/>
          <w:szCs w:val="23"/>
          <w:lang w:val="en-GB"/>
        </w:rPr>
      </w:pPr>
      <w:r>
        <w:rPr>
          <w:rFonts w:ascii="Times New Roman" w:hAnsi="Times New Roman" w:cs="Times New Roman"/>
          <w:sz w:val="24"/>
          <w:szCs w:val="24"/>
          <w:lang w:val="en-GB"/>
        </w:rPr>
        <w:t>Extension</w:t>
      </w:r>
      <w:r w:rsidRPr="00681EA6">
        <w:rPr>
          <w:rFonts w:ascii="Times New Roman" w:hAnsi="Times New Roman" w:cs="Times New Roman"/>
          <w:sz w:val="24"/>
          <w:szCs w:val="24"/>
          <w:lang w:val="en-GB"/>
        </w:rPr>
        <w:t xml:space="preserve"> and </w:t>
      </w:r>
      <w:r>
        <w:rPr>
          <w:rFonts w:ascii="Times New Roman" w:hAnsi="Times New Roman" w:cs="Times New Roman"/>
          <w:sz w:val="24"/>
          <w:szCs w:val="24"/>
          <w:lang w:val="en-GB"/>
        </w:rPr>
        <w:t>magmatism</w:t>
      </w:r>
      <w:r w:rsidR="00895E86" w:rsidRPr="00681EA6">
        <w:rPr>
          <w:rFonts w:ascii="Times New Roman" w:hAnsi="Times New Roman" w:cs="Times New Roman"/>
          <w:sz w:val="24"/>
          <w:szCs w:val="24"/>
          <w:lang w:val="en-GB"/>
        </w:rPr>
        <w:t xml:space="preserve"> </w:t>
      </w:r>
      <w:r w:rsidR="00057158" w:rsidRPr="00681EA6">
        <w:rPr>
          <w:rFonts w:ascii="Times New Roman" w:hAnsi="Times New Roman" w:cs="Times New Roman"/>
          <w:sz w:val="24"/>
          <w:szCs w:val="24"/>
          <w:lang w:val="en-GB"/>
        </w:rPr>
        <w:t>commenced ca. 33/32 Ma (early</w:t>
      </w:r>
      <w:r w:rsidR="00057158" w:rsidRPr="00A746CB">
        <w:rPr>
          <w:rFonts w:ascii="Times New Roman" w:hAnsi="Times New Roman" w:cs="Times New Roman"/>
          <w:sz w:val="24"/>
          <w:szCs w:val="23"/>
          <w:lang w:val="en-GB"/>
        </w:rPr>
        <w:t xml:space="preserve"> Oligocene) </w:t>
      </w:r>
      <w:r>
        <w:rPr>
          <w:rFonts w:ascii="Times New Roman" w:hAnsi="Times New Roman" w:cs="Times New Roman"/>
          <w:sz w:val="24"/>
          <w:szCs w:val="23"/>
          <w:lang w:val="en-GB"/>
        </w:rPr>
        <w:t>in</w:t>
      </w:r>
      <w:r w:rsidR="00232EFA" w:rsidRPr="00A746CB">
        <w:rPr>
          <w:rFonts w:ascii="Times New Roman" w:hAnsi="Times New Roman" w:cs="Times New Roman"/>
          <w:sz w:val="24"/>
          <w:szCs w:val="23"/>
          <w:lang w:val="en-GB"/>
        </w:rPr>
        <w:t xml:space="preserve"> </w:t>
      </w:r>
      <w:r w:rsidR="00895E86">
        <w:rPr>
          <w:rFonts w:ascii="Times New Roman" w:hAnsi="Times New Roman" w:cs="Times New Roman"/>
          <w:sz w:val="24"/>
          <w:szCs w:val="23"/>
          <w:lang w:val="en-GB"/>
        </w:rPr>
        <w:t>the OAA</w:t>
      </w:r>
      <w:r w:rsidR="00232EFA" w:rsidRPr="00A746CB">
        <w:rPr>
          <w:rFonts w:ascii="Times New Roman" w:hAnsi="Times New Roman" w:cs="Times New Roman"/>
          <w:sz w:val="24"/>
          <w:szCs w:val="23"/>
          <w:lang w:val="en-GB"/>
        </w:rPr>
        <w:t xml:space="preserve"> </w:t>
      </w:r>
      <w:r w:rsidR="00895E86">
        <w:rPr>
          <w:rFonts w:ascii="Times New Roman" w:hAnsi="Times New Roman" w:cs="Times New Roman"/>
          <w:sz w:val="24"/>
          <w:szCs w:val="23"/>
          <w:lang w:val="en-GB"/>
        </w:rPr>
        <w:t>and the Hercynian lithosphere extending from Provence to Corsica-Sardinia</w:t>
      </w:r>
      <w:r w:rsidR="00232EFA" w:rsidRPr="00A746CB">
        <w:rPr>
          <w:rFonts w:ascii="Times New Roman" w:hAnsi="Times New Roman" w:cs="Times New Roman"/>
          <w:sz w:val="24"/>
          <w:szCs w:val="23"/>
          <w:lang w:val="en-GB"/>
        </w:rPr>
        <w:t>. The extension r</w:t>
      </w:r>
      <w:r w:rsidR="004D587A" w:rsidRPr="00A746CB">
        <w:rPr>
          <w:rFonts w:ascii="Times New Roman" w:hAnsi="Times New Roman" w:cs="Times New Roman"/>
          <w:sz w:val="24"/>
          <w:szCs w:val="23"/>
          <w:lang w:val="en-GB"/>
        </w:rPr>
        <w:t>eached the stage of</w:t>
      </w:r>
      <w:r w:rsidR="00057158" w:rsidRPr="00A746CB">
        <w:rPr>
          <w:rFonts w:ascii="Times New Roman" w:hAnsi="Times New Roman" w:cs="Times New Roman"/>
          <w:sz w:val="24"/>
          <w:szCs w:val="23"/>
          <w:lang w:val="en-GB"/>
        </w:rPr>
        <w:t xml:space="preserve"> </w:t>
      </w:r>
      <w:r w:rsidR="00895E86">
        <w:rPr>
          <w:rFonts w:ascii="Times New Roman" w:hAnsi="Times New Roman" w:cs="Times New Roman"/>
          <w:sz w:val="24"/>
          <w:szCs w:val="23"/>
          <w:lang w:val="en-GB"/>
        </w:rPr>
        <w:t xml:space="preserve">consecutive </w:t>
      </w:r>
      <w:r w:rsidR="006D51E4" w:rsidRPr="00A746CB">
        <w:rPr>
          <w:rFonts w:ascii="Times New Roman" w:hAnsi="Times New Roman" w:cs="Times New Roman"/>
          <w:sz w:val="24"/>
          <w:szCs w:val="23"/>
          <w:lang w:val="en-GB"/>
        </w:rPr>
        <w:t xml:space="preserve">emplacement </w:t>
      </w:r>
      <w:r w:rsidR="00057158" w:rsidRPr="00A746CB">
        <w:rPr>
          <w:rFonts w:ascii="Times New Roman" w:hAnsi="Times New Roman" w:cs="Times New Roman"/>
          <w:sz w:val="24"/>
          <w:szCs w:val="23"/>
          <w:lang w:val="en-GB"/>
        </w:rPr>
        <w:t xml:space="preserve">of </w:t>
      </w:r>
      <w:r w:rsidR="00562EC8">
        <w:rPr>
          <w:rFonts w:ascii="Times New Roman" w:hAnsi="Times New Roman" w:cs="Times New Roman"/>
          <w:sz w:val="24"/>
          <w:szCs w:val="23"/>
          <w:lang w:val="en-GB"/>
        </w:rPr>
        <w:t>oceanic lithosphere</w:t>
      </w:r>
      <w:r w:rsidR="00232EFA" w:rsidRPr="00A746CB">
        <w:rPr>
          <w:rFonts w:ascii="Times New Roman" w:hAnsi="Times New Roman" w:cs="Times New Roman"/>
          <w:sz w:val="24"/>
          <w:szCs w:val="23"/>
          <w:lang w:val="en-GB"/>
        </w:rPr>
        <w:t xml:space="preserve"> </w:t>
      </w:r>
      <w:r w:rsidR="00D322E1" w:rsidRPr="00A746CB">
        <w:rPr>
          <w:rFonts w:ascii="Times New Roman" w:hAnsi="Times New Roman" w:cs="Times New Roman"/>
          <w:sz w:val="24"/>
          <w:szCs w:val="23"/>
          <w:lang w:val="en-GB"/>
        </w:rPr>
        <w:t>in the</w:t>
      </w:r>
      <w:r w:rsidR="006D51E4" w:rsidRPr="00A746CB">
        <w:rPr>
          <w:rFonts w:ascii="Times New Roman" w:hAnsi="Times New Roman" w:cs="Times New Roman"/>
          <w:sz w:val="24"/>
          <w:szCs w:val="23"/>
          <w:lang w:val="en-GB"/>
        </w:rPr>
        <w:t xml:space="preserve"> </w:t>
      </w:r>
      <w:r w:rsidR="00331A8E" w:rsidRPr="00A746CB">
        <w:rPr>
          <w:rFonts w:ascii="Times New Roman" w:hAnsi="Times New Roman" w:cs="Times New Roman"/>
          <w:sz w:val="24"/>
          <w:szCs w:val="23"/>
          <w:lang w:val="en-GB"/>
        </w:rPr>
        <w:t>Sardinia</w:t>
      </w:r>
      <w:r w:rsidR="006D51E4" w:rsidRPr="00A746CB">
        <w:rPr>
          <w:rFonts w:ascii="Times New Roman" w:hAnsi="Times New Roman" w:cs="Times New Roman"/>
          <w:sz w:val="24"/>
          <w:szCs w:val="23"/>
          <w:lang w:val="en-GB"/>
        </w:rPr>
        <w:t>/</w:t>
      </w:r>
      <w:r w:rsidR="00091247" w:rsidRPr="00A746CB">
        <w:rPr>
          <w:rFonts w:ascii="Times New Roman" w:hAnsi="Times New Roman" w:cs="Times New Roman"/>
          <w:sz w:val="24"/>
          <w:szCs w:val="23"/>
          <w:lang w:val="en-GB"/>
        </w:rPr>
        <w:t>Provenc</w:t>
      </w:r>
      <w:r w:rsidR="00057158" w:rsidRPr="00A746CB">
        <w:rPr>
          <w:rFonts w:ascii="Times New Roman" w:hAnsi="Times New Roman" w:cs="Times New Roman"/>
          <w:sz w:val="24"/>
          <w:szCs w:val="23"/>
          <w:lang w:val="en-GB"/>
        </w:rPr>
        <w:t>e</w:t>
      </w:r>
      <w:r w:rsidR="00232EFA" w:rsidRPr="00A746CB">
        <w:rPr>
          <w:rFonts w:ascii="Times New Roman" w:hAnsi="Times New Roman" w:cs="Times New Roman"/>
          <w:sz w:val="24"/>
          <w:szCs w:val="23"/>
          <w:lang w:val="en-GB"/>
        </w:rPr>
        <w:t xml:space="preserve">, </w:t>
      </w:r>
      <w:r w:rsidR="00331A8E" w:rsidRPr="00A746CB">
        <w:rPr>
          <w:rFonts w:ascii="Times New Roman" w:hAnsi="Times New Roman" w:cs="Times New Roman"/>
          <w:sz w:val="24"/>
          <w:szCs w:val="23"/>
          <w:lang w:val="en-GB"/>
        </w:rPr>
        <w:t>north Algeria</w:t>
      </w:r>
      <w:r w:rsidR="00232EFA" w:rsidRPr="00A746CB">
        <w:rPr>
          <w:rFonts w:ascii="Times New Roman" w:hAnsi="Times New Roman" w:cs="Times New Roman"/>
          <w:sz w:val="24"/>
          <w:szCs w:val="23"/>
          <w:lang w:val="en-GB"/>
        </w:rPr>
        <w:t xml:space="preserve">, </w:t>
      </w:r>
      <w:r w:rsidR="008B5172" w:rsidRPr="00A746CB">
        <w:rPr>
          <w:rFonts w:ascii="Times New Roman" w:hAnsi="Times New Roman" w:cs="Times New Roman"/>
          <w:sz w:val="24"/>
          <w:szCs w:val="23"/>
          <w:lang w:val="en-GB"/>
        </w:rPr>
        <w:t>Vavilov</w:t>
      </w:r>
      <w:r w:rsidR="00232EFA" w:rsidRPr="00A746CB">
        <w:rPr>
          <w:rFonts w:ascii="Times New Roman" w:hAnsi="Times New Roman" w:cs="Times New Roman"/>
          <w:sz w:val="24"/>
          <w:szCs w:val="23"/>
          <w:lang w:val="en-GB"/>
        </w:rPr>
        <w:t xml:space="preserve"> and </w:t>
      </w:r>
      <w:r w:rsidR="008B5172" w:rsidRPr="00A746CB">
        <w:rPr>
          <w:rFonts w:ascii="Times New Roman" w:hAnsi="Times New Roman" w:cs="Times New Roman"/>
          <w:sz w:val="24"/>
          <w:szCs w:val="23"/>
          <w:lang w:val="en-GB"/>
        </w:rPr>
        <w:t>Marsili</w:t>
      </w:r>
      <w:r w:rsidR="006D51E4" w:rsidRPr="00A746CB">
        <w:rPr>
          <w:rFonts w:ascii="Times New Roman" w:hAnsi="Times New Roman" w:cs="Times New Roman"/>
          <w:sz w:val="24"/>
          <w:szCs w:val="23"/>
          <w:lang w:val="en-GB"/>
        </w:rPr>
        <w:t xml:space="preserve"> </w:t>
      </w:r>
      <w:r w:rsidR="00232EFA" w:rsidRPr="00A746CB">
        <w:rPr>
          <w:rFonts w:ascii="Times New Roman" w:hAnsi="Times New Roman" w:cs="Times New Roman"/>
          <w:sz w:val="24"/>
          <w:szCs w:val="23"/>
          <w:lang w:val="en-GB"/>
        </w:rPr>
        <w:t xml:space="preserve">basins </w:t>
      </w:r>
      <w:r w:rsidR="006D51E4" w:rsidRPr="00A746CB">
        <w:rPr>
          <w:rFonts w:ascii="Times New Roman" w:hAnsi="Times New Roman" w:cs="Times New Roman"/>
          <w:sz w:val="24"/>
          <w:szCs w:val="23"/>
          <w:lang w:val="en-GB"/>
        </w:rPr>
        <w:t xml:space="preserve">(Fig. 1) </w:t>
      </w:r>
      <w:r w:rsidR="00895E86">
        <w:rPr>
          <w:rFonts w:ascii="Times New Roman" w:hAnsi="Times New Roman" w:cs="Times New Roman"/>
          <w:sz w:val="24"/>
          <w:szCs w:val="23"/>
          <w:lang w:val="en-GB"/>
        </w:rPr>
        <w:t>during</w:t>
      </w:r>
      <w:r w:rsidR="008E2053" w:rsidRPr="00A746CB">
        <w:rPr>
          <w:rFonts w:ascii="Times New Roman" w:hAnsi="Times New Roman" w:cs="Times New Roman"/>
          <w:sz w:val="24"/>
          <w:szCs w:val="23"/>
          <w:lang w:val="en-GB"/>
        </w:rPr>
        <w:t xml:space="preserve"> the last</w:t>
      </w:r>
      <w:r w:rsidR="006D51E4" w:rsidRPr="00A746CB">
        <w:rPr>
          <w:rFonts w:ascii="Times New Roman" w:hAnsi="Times New Roman" w:cs="Times New Roman"/>
          <w:sz w:val="24"/>
          <w:szCs w:val="23"/>
          <w:lang w:val="en-GB"/>
        </w:rPr>
        <w:t xml:space="preserve"> 20 Ma (</w:t>
      </w:r>
      <w:r w:rsidR="00D67348">
        <w:rPr>
          <w:rFonts w:ascii="Times New Roman" w:hAnsi="Times New Roman" w:cs="Times New Roman"/>
          <w:sz w:val="24"/>
          <w:szCs w:val="23"/>
          <w:lang w:val="en-GB"/>
        </w:rPr>
        <w:t>Bur</w:t>
      </w:r>
      <w:r w:rsidR="001976DC">
        <w:rPr>
          <w:rFonts w:ascii="Times New Roman" w:hAnsi="Times New Roman" w:cs="Times New Roman"/>
          <w:sz w:val="24"/>
          <w:szCs w:val="23"/>
          <w:lang w:val="en-GB"/>
        </w:rPr>
        <w:t>d</w:t>
      </w:r>
      <w:r w:rsidR="00D67348">
        <w:rPr>
          <w:rFonts w:ascii="Times New Roman" w:hAnsi="Times New Roman" w:cs="Times New Roman"/>
          <w:sz w:val="24"/>
          <w:szCs w:val="23"/>
          <w:lang w:val="en-GB"/>
        </w:rPr>
        <w:t>i</w:t>
      </w:r>
      <w:r w:rsidR="001976DC">
        <w:rPr>
          <w:rFonts w:ascii="Times New Roman" w:hAnsi="Times New Roman" w:cs="Times New Roman"/>
          <w:sz w:val="24"/>
          <w:szCs w:val="23"/>
          <w:lang w:val="en-GB"/>
        </w:rPr>
        <w:t>g</w:t>
      </w:r>
      <w:r w:rsidR="00D67348">
        <w:rPr>
          <w:rFonts w:ascii="Times New Roman" w:hAnsi="Times New Roman" w:cs="Times New Roman"/>
          <w:sz w:val="24"/>
          <w:szCs w:val="23"/>
          <w:lang w:val="en-GB"/>
        </w:rPr>
        <w:t>alian - Recent</w:t>
      </w:r>
      <w:r w:rsidR="006D51E4" w:rsidRPr="00A746CB">
        <w:rPr>
          <w:rFonts w:ascii="Times New Roman" w:hAnsi="Times New Roman" w:cs="Times New Roman"/>
          <w:sz w:val="24"/>
          <w:szCs w:val="23"/>
          <w:lang w:val="en-GB"/>
        </w:rPr>
        <w:t>).</w:t>
      </w:r>
      <w:r w:rsidR="00331A8E" w:rsidRPr="00A746CB">
        <w:rPr>
          <w:rFonts w:ascii="Times New Roman" w:hAnsi="Times New Roman" w:cs="Times New Roman"/>
          <w:sz w:val="24"/>
          <w:szCs w:val="23"/>
          <w:lang w:val="en-GB"/>
        </w:rPr>
        <w:t xml:space="preserve"> </w:t>
      </w:r>
      <w:r w:rsidR="00E2082D" w:rsidRPr="00A746CB">
        <w:rPr>
          <w:rFonts w:ascii="Times New Roman" w:hAnsi="Times New Roman" w:cs="Times New Roman"/>
          <w:sz w:val="24"/>
          <w:szCs w:val="23"/>
          <w:lang w:val="en-GB"/>
        </w:rPr>
        <w:t xml:space="preserve">Overall, continental margin block </w:t>
      </w:r>
      <w:r w:rsidR="00A07189" w:rsidRPr="00A746CB">
        <w:rPr>
          <w:rFonts w:ascii="Times New Roman" w:hAnsi="Times New Roman" w:cs="Times New Roman"/>
          <w:sz w:val="24"/>
          <w:szCs w:val="23"/>
          <w:lang w:val="en-GB"/>
        </w:rPr>
        <w:t xml:space="preserve">rotation </w:t>
      </w:r>
      <w:r w:rsidR="00D67348">
        <w:rPr>
          <w:rFonts w:ascii="Times New Roman" w:hAnsi="Times New Roman" w:cs="Times New Roman"/>
          <w:sz w:val="24"/>
          <w:szCs w:val="23"/>
          <w:lang w:val="en-GB"/>
        </w:rPr>
        <w:t>produced asymmetr</w:t>
      </w:r>
      <w:r w:rsidR="00F93209">
        <w:rPr>
          <w:rFonts w:ascii="Times New Roman" w:hAnsi="Times New Roman" w:cs="Times New Roman"/>
          <w:sz w:val="24"/>
          <w:szCs w:val="23"/>
          <w:lang w:val="en-GB"/>
        </w:rPr>
        <w:t>ic</w:t>
      </w:r>
      <w:r w:rsidR="00E2082D" w:rsidRPr="00A746CB">
        <w:rPr>
          <w:rFonts w:ascii="Times New Roman" w:hAnsi="Times New Roman" w:cs="Times New Roman"/>
          <w:sz w:val="24"/>
          <w:szCs w:val="23"/>
          <w:lang w:val="en-GB"/>
        </w:rPr>
        <w:t xml:space="preserve"> basin opening</w:t>
      </w:r>
      <w:r w:rsidR="00023046">
        <w:rPr>
          <w:rFonts w:ascii="Times New Roman" w:hAnsi="Times New Roman" w:cs="Times New Roman"/>
          <w:sz w:val="24"/>
          <w:szCs w:val="23"/>
          <w:lang w:val="en-GB"/>
        </w:rPr>
        <w:t xml:space="preserve"> </w:t>
      </w:r>
      <w:r w:rsidR="00023046" w:rsidRPr="00A746CB">
        <w:rPr>
          <w:rFonts w:ascii="Times New Roman" w:hAnsi="Times New Roman" w:cs="Times New Roman"/>
          <w:sz w:val="24"/>
          <w:szCs w:val="23"/>
          <w:lang w:val="en-GB"/>
        </w:rPr>
        <w:t>(Fig.1</w:t>
      </w:r>
      <w:r w:rsidR="00023046">
        <w:rPr>
          <w:rFonts w:ascii="Times New Roman" w:hAnsi="Times New Roman" w:cs="Times New Roman"/>
          <w:sz w:val="24"/>
          <w:szCs w:val="23"/>
          <w:lang w:val="en-GB"/>
        </w:rPr>
        <w:t>)</w:t>
      </w:r>
      <w:r w:rsidR="00D77006" w:rsidRPr="003453E4">
        <w:rPr>
          <w:rFonts w:ascii="Times New Roman" w:hAnsi="Times New Roman" w:cs="Times New Roman"/>
          <w:b/>
          <w:color w:val="0070C0"/>
          <w:sz w:val="24"/>
          <w:szCs w:val="23"/>
          <w:vertAlign w:val="superscript"/>
          <w:lang w:val="en-GB"/>
        </w:rPr>
        <w:t>9</w:t>
      </w:r>
      <w:r w:rsidR="00023046">
        <w:rPr>
          <w:rFonts w:ascii="Times New Roman" w:hAnsi="Times New Roman" w:cs="Times New Roman"/>
          <w:sz w:val="24"/>
          <w:szCs w:val="23"/>
          <w:lang w:val="en-GB"/>
        </w:rPr>
        <w:t>.</w:t>
      </w:r>
      <w:r w:rsidR="00023046" w:rsidRPr="00023046">
        <w:rPr>
          <w:rFonts w:ascii="Times New Roman" w:hAnsi="Times New Roman" w:cs="Times New Roman"/>
          <w:sz w:val="24"/>
          <w:szCs w:val="23"/>
          <w:lang w:val="en-GB"/>
        </w:rPr>
        <w:t xml:space="preserve"> </w:t>
      </w:r>
      <w:r w:rsidR="00023046">
        <w:rPr>
          <w:rFonts w:ascii="Times New Roman" w:hAnsi="Times New Roman" w:cs="Times New Roman"/>
          <w:sz w:val="24"/>
          <w:szCs w:val="23"/>
          <w:lang w:val="en-GB"/>
        </w:rPr>
        <w:t xml:space="preserve">The </w:t>
      </w:r>
      <w:r w:rsidR="00023046" w:rsidRPr="00A746CB">
        <w:rPr>
          <w:rFonts w:ascii="Times New Roman" w:hAnsi="Times New Roman" w:cs="Times New Roman"/>
          <w:sz w:val="24"/>
          <w:szCs w:val="23"/>
          <w:lang w:val="en-GB"/>
        </w:rPr>
        <w:t>Sardinia</w:t>
      </w:r>
      <w:r w:rsidR="00023046">
        <w:rPr>
          <w:rFonts w:ascii="Times New Roman" w:hAnsi="Times New Roman" w:cs="Times New Roman"/>
          <w:sz w:val="24"/>
          <w:szCs w:val="23"/>
          <w:lang w:val="en-GB"/>
        </w:rPr>
        <w:t>-Provence</w:t>
      </w:r>
      <w:r w:rsidR="00023046" w:rsidRPr="00A746CB">
        <w:rPr>
          <w:rFonts w:ascii="Times New Roman" w:hAnsi="Times New Roman" w:cs="Times New Roman"/>
          <w:sz w:val="24"/>
          <w:szCs w:val="23"/>
          <w:lang w:val="en-GB"/>
        </w:rPr>
        <w:t xml:space="preserve"> and </w:t>
      </w:r>
      <w:r w:rsidR="00023046">
        <w:rPr>
          <w:rFonts w:ascii="Times New Roman" w:hAnsi="Times New Roman" w:cs="Times New Roman"/>
          <w:sz w:val="24"/>
          <w:szCs w:val="23"/>
          <w:lang w:val="en-GB"/>
        </w:rPr>
        <w:t>North Algeria basins</w:t>
      </w:r>
      <w:r w:rsidR="00023046" w:rsidRPr="00A746CB">
        <w:rPr>
          <w:rFonts w:ascii="Times New Roman" w:hAnsi="Times New Roman" w:cs="Times New Roman"/>
          <w:sz w:val="24"/>
          <w:szCs w:val="23"/>
          <w:lang w:val="en-GB"/>
        </w:rPr>
        <w:t xml:space="preserve"> </w:t>
      </w:r>
      <w:r w:rsidR="00023046" w:rsidRPr="00023046">
        <w:rPr>
          <w:rFonts w:ascii="Times New Roman" w:hAnsi="Times New Roman" w:cs="Times New Roman"/>
          <w:sz w:val="24"/>
          <w:szCs w:val="23"/>
          <w:lang w:val="en-GB"/>
        </w:rPr>
        <w:t xml:space="preserve">are separated by the </w:t>
      </w:r>
    </w:p>
    <w:p w:rsidR="00A778D6" w:rsidRPr="00A778D6" w:rsidRDefault="004A73F8" w:rsidP="00A778D6">
      <w:pPr>
        <w:pStyle w:val="Testonormale"/>
        <w:spacing w:line="240" w:lineRule="auto"/>
        <w:jc w:val="both"/>
        <w:rPr>
          <w:rFonts w:ascii="Times New Roman" w:hAnsi="Times New Roman" w:cs="Times New Roman"/>
          <w:bCs/>
          <w:szCs w:val="23"/>
          <w:lang w:val="en-GB"/>
        </w:rPr>
      </w:pPr>
      <w:r>
        <w:rPr>
          <w:rFonts w:ascii="Times New Roman" w:hAnsi="Times New Roman" w:cs="Times New Roman"/>
          <w:b/>
          <w:bCs/>
          <w:noProof/>
          <w:szCs w:val="23"/>
        </w:rPr>
        <w:lastRenderedPageBreak/>
        <w:drawing>
          <wp:inline distT="0" distB="0" distL="0" distR="0">
            <wp:extent cx="5731510" cy="4330065"/>
            <wp:effectExtent l="19050" t="0" r="2540" b="0"/>
            <wp:docPr id="11" name="Immagine 10" descr="Figure 1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last.jpg"/>
                    <pic:cNvPicPr/>
                  </pic:nvPicPr>
                  <pic:blipFill>
                    <a:blip r:embed="rId8" cstate="print"/>
                    <a:stretch>
                      <a:fillRect/>
                    </a:stretch>
                  </pic:blipFill>
                  <pic:spPr>
                    <a:xfrm>
                      <a:off x="0" y="0"/>
                      <a:ext cx="5731510" cy="4330065"/>
                    </a:xfrm>
                    <a:prstGeom prst="rect">
                      <a:avLst/>
                    </a:prstGeom>
                  </pic:spPr>
                </pic:pic>
              </a:graphicData>
            </a:graphic>
          </wp:inline>
        </w:drawing>
      </w:r>
      <w:r w:rsidR="00A778D6" w:rsidRPr="00A778D6">
        <w:rPr>
          <w:rFonts w:ascii="Times New Roman" w:hAnsi="Times New Roman" w:cs="Times New Roman"/>
          <w:b/>
          <w:bCs/>
          <w:szCs w:val="23"/>
          <w:lang w:val="en-GB"/>
        </w:rPr>
        <w:t>Figure 1</w:t>
      </w:r>
      <w:r w:rsidR="00A778D6" w:rsidRPr="00A778D6">
        <w:rPr>
          <w:rFonts w:ascii="Times New Roman" w:hAnsi="Times New Roman" w:cs="Times New Roman"/>
          <w:bCs/>
          <w:szCs w:val="23"/>
          <w:lang w:val="en-GB"/>
        </w:rPr>
        <w:t>.</w:t>
      </w:r>
      <w:r w:rsidR="00A778D6" w:rsidRPr="00A778D6">
        <w:rPr>
          <w:rFonts w:ascii="Times New Roman" w:hAnsi="Times New Roman" w:cs="Times New Roman"/>
          <w:b/>
          <w:bCs/>
          <w:szCs w:val="23"/>
          <w:lang w:val="en-GB"/>
        </w:rPr>
        <w:t xml:space="preserve"> </w:t>
      </w:r>
      <w:r w:rsidR="00A778D6" w:rsidRPr="00A778D6">
        <w:rPr>
          <w:rFonts w:ascii="Times New Roman" w:hAnsi="Times New Roman" w:cs="Times New Roman"/>
          <w:bCs/>
          <w:szCs w:val="23"/>
          <w:lang w:val="en-GB"/>
        </w:rPr>
        <w:t>Relief-shaded image of the west Mediterranean-Tyrrhenian area showing the Recent convergence fronts of the Maghreb-Apennines and Alpine belts, the pre-Oligocene front of subduction of the European plate beneath the extended orogen of Alpine age (</w:t>
      </w:r>
      <w:r w:rsidR="00A778D6" w:rsidRPr="00A778D6">
        <w:rPr>
          <w:rFonts w:ascii="Times New Roman" w:hAnsi="Times New Roman" w:cs="Times New Roman"/>
          <w:b/>
          <w:bCs/>
          <w:szCs w:val="23"/>
          <w:lang w:val="en-GB"/>
        </w:rPr>
        <w:t>OAA</w:t>
      </w:r>
      <w:r w:rsidR="00A778D6" w:rsidRPr="00A778D6">
        <w:rPr>
          <w:rFonts w:ascii="Times New Roman" w:hAnsi="Times New Roman" w:cs="Times New Roman"/>
          <w:bCs/>
          <w:szCs w:val="23"/>
          <w:lang w:val="en-GB"/>
        </w:rPr>
        <w:t>), and the oceanic basins of Sardinia-Provence (</w:t>
      </w:r>
      <w:r w:rsidR="00A778D6" w:rsidRPr="00A778D6">
        <w:rPr>
          <w:rFonts w:ascii="Times New Roman" w:hAnsi="Times New Roman" w:cs="Times New Roman"/>
          <w:b/>
          <w:bCs/>
          <w:szCs w:val="23"/>
          <w:lang w:val="en-GB"/>
        </w:rPr>
        <w:t>Sa-Pr b</w:t>
      </w:r>
      <w:r w:rsidR="00A778D6" w:rsidRPr="00A778D6">
        <w:rPr>
          <w:rFonts w:ascii="Times New Roman" w:hAnsi="Times New Roman" w:cs="Times New Roman"/>
          <w:bCs/>
          <w:szCs w:val="23"/>
          <w:lang w:val="en-GB"/>
        </w:rPr>
        <w:t>), Vavilov (</w:t>
      </w:r>
      <w:r w:rsidR="00A778D6" w:rsidRPr="00A778D6">
        <w:rPr>
          <w:rFonts w:ascii="Times New Roman" w:hAnsi="Times New Roman" w:cs="Times New Roman"/>
          <w:b/>
          <w:bCs/>
          <w:szCs w:val="23"/>
          <w:lang w:val="en-GB"/>
        </w:rPr>
        <w:t>V b)</w:t>
      </w:r>
      <w:r w:rsidR="00A778D6" w:rsidRPr="00A778D6">
        <w:rPr>
          <w:rFonts w:ascii="Times New Roman" w:hAnsi="Times New Roman" w:cs="Times New Roman"/>
          <w:bCs/>
          <w:szCs w:val="23"/>
          <w:lang w:val="en-GB"/>
        </w:rPr>
        <w:t>, Marsili (</w:t>
      </w:r>
      <w:r w:rsidR="00A778D6" w:rsidRPr="00A778D6">
        <w:rPr>
          <w:rFonts w:ascii="Times New Roman" w:hAnsi="Times New Roman" w:cs="Times New Roman"/>
          <w:b/>
          <w:bCs/>
          <w:szCs w:val="23"/>
          <w:lang w:val="en-GB"/>
        </w:rPr>
        <w:t>M b)</w:t>
      </w:r>
      <w:r w:rsidR="00A778D6" w:rsidRPr="00A778D6">
        <w:rPr>
          <w:rFonts w:ascii="Times New Roman" w:hAnsi="Times New Roman" w:cs="Times New Roman"/>
          <w:bCs/>
          <w:szCs w:val="23"/>
          <w:lang w:val="en-GB"/>
        </w:rPr>
        <w:t xml:space="preserve"> and north Algeria. The white arrows show the counter-clockwise rotation of Corsica-Sardinia and north Apennines, and the clockwise rotation of the Algeria margin and south Apennines. Legend: </w:t>
      </w:r>
      <w:r w:rsidR="00A778D6" w:rsidRPr="00A778D6">
        <w:rPr>
          <w:rFonts w:ascii="Times New Roman" w:hAnsi="Times New Roman" w:cs="Times New Roman"/>
          <w:b/>
          <w:bCs/>
          <w:szCs w:val="23"/>
          <w:lang w:val="en-GB"/>
        </w:rPr>
        <w:t>CTFZ</w:t>
      </w:r>
      <w:r w:rsidR="00A778D6" w:rsidRPr="00A778D6">
        <w:rPr>
          <w:rFonts w:ascii="Times New Roman" w:hAnsi="Times New Roman" w:cs="Times New Roman"/>
          <w:bCs/>
          <w:szCs w:val="23"/>
          <w:lang w:val="en-GB"/>
        </w:rPr>
        <w:t xml:space="preserve"> = Catalan -Tunisian fracture zone separating the west segment of European </w:t>
      </w:r>
      <w:r w:rsidR="00140581">
        <w:rPr>
          <w:rFonts w:ascii="Times New Roman" w:hAnsi="Times New Roman" w:cs="Times New Roman"/>
          <w:bCs/>
          <w:szCs w:val="23"/>
          <w:lang w:val="en-GB"/>
        </w:rPr>
        <w:t>lithosphere</w:t>
      </w:r>
      <w:r w:rsidR="00A778D6" w:rsidRPr="00A778D6">
        <w:rPr>
          <w:rFonts w:ascii="Times New Roman" w:hAnsi="Times New Roman" w:cs="Times New Roman"/>
          <w:bCs/>
          <w:szCs w:val="23"/>
          <w:lang w:val="en-GB"/>
        </w:rPr>
        <w:t xml:space="preserve"> and extended OAA from that to the east (see text for discussion);</w:t>
      </w:r>
      <w:r w:rsidR="00A778D6" w:rsidRPr="00A778D6">
        <w:rPr>
          <w:rFonts w:ascii="Times New Roman" w:hAnsi="Times New Roman" w:cs="Times New Roman"/>
          <w:b/>
          <w:bCs/>
          <w:szCs w:val="23"/>
          <w:lang w:val="en-GB"/>
        </w:rPr>
        <w:t xml:space="preserve"> CVZ</w:t>
      </w:r>
      <w:r w:rsidR="00A778D6" w:rsidRPr="00A778D6">
        <w:rPr>
          <w:rFonts w:ascii="Times New Roman" w:hAnsi="Times New Roman" w:cs="Times New Roman"/>
          <w:bCs/>
          <w:szCs w:val="23"/>
          <w:lang w:val="en-GB"/>
        </w:rPr>
        <w:t xml:space="preserve"> = Catalan volcanic zone; </w:t>
      </w:r>
      <w:r w:rsidR="00A778D6" w:rsidRPr="00A778D6">
        <w:rPr>
          <w:rFonts w:ascii="Times New Roman" w:hAnsi="Times New Roman" w:cs="Times New Roman"/>
          <w:b/>
          <w:bCs/>
          <w:szCs w:val="23"/>
          <w:lang w:val="en-GB"/>
        </w:rPr>
        <w:t>GA</w:t>
      </w:r>
      <w:r w:rsidR="00A778D6" w:rsidRPr="00A778D6">
        <w:rPr>
          <w:rFonts w:ascii="Times New Roman" w:hAnsi="Times New Roman" w:cs="Times New Roman"/>
          <w:bCs/>
          <w:szCs w:val="23"/>
          <w:lang w:val="en-GB"/>
        </w:rPr>
        <w:t xml:space="preserve"> = Gibraltar arc;</w:t>
      </w:r>
      <w:r w:rsidR="00A778D6" w:rsidRPr="00A778D6">
        <w:rPr>
          <w:rFonts w:ascii="Times New Roman" w:hAnsi="Times New Roman" w:cs="Times New Roman"/>
          <w:b/>
          <w:bCs/>
          <w:szCs w:val="23"/>
          <w:lang w:val="en-GB"/>
        </w:rPr>
        <w:t xml:space="preserve"> RAF = </w:t>
      </w:r>
      <w:r w:rsidR="00A778D6" w:rsidRPr="00A778D6">
        <w:rPr>
          <w:rFonts w:ascii="Times New Roman" w:hAnsi="Times New Roman" w:cs="Times New Roman"/>
          <w:bCs/>
          <w:szCs w:val="23"/>
          <w:lang w:val="en-GB"/>
        </w:rPr>
        <w:t xml:space="preserve">Relict Alpine Front; </w:t>
      </w:r>
      <w:r w:rsidR="00A778D6" w:rsidRPr="00A778D6">
        <w:rPr>
          <w:rFonts w:ascii="Times New Roman" w:hAnsi="Times New Roman" w:cs="Times New Roman"/>
          <w:b/>
          <w:bCs/>
          <w:szCs w:val="23"/>
          <w:lang w:val="en-GB"/>
        </w:rPr>
        <w:t>TASZ</w:t>
      </w:r>
      <w:r w:rsidR="00A778D6" w:rsidRPr="00A778D6">
        <w:rPr>
          <w:rFonts w:ascii="Times New Roman" w:hAnsi="Times New Roman" w:cs="Times New Roman"/>
          <w:bCs/>
          <w:szCs w:val="23"/>
          <w:lang w:val="en-GB"/>
        </w:rPr>
        <w:t xml:space="preserve"> = Trans-Alboran </w:t>
      </w:r>
      <w:r w:rsidR="00232314">
        <w:rPr>
          <w:rFonts w:ascii="Times New Roman" w:hAnsi="Times New Roman" w:cs="Times New Roman"/>
          <w:bCs/>
          <w:szCs w:val="23"/>
          <w:lang w:val="en-GB"/>
        </w:rPr>
        <w:t>fracture</w:t>
      </w:r>
      <w:r w:rsidR="00A778D6" w:rsidRPr="00A778D6">
        <w:rPr>
          <w:rFonts w:ascii="Times New Roman" w:hAnsi="Times New Roman" w:cs="Times New Roman"/>
          <w:bCs/>
          <w:szCs w:val="23"/>
          <w:lang w:val="en-GB"/>
        </w:rPr>
        <w:t xml:space="preserve"> zone; </w:t>
      </w:r>
      <w:r w:rsidR="00A778D6" w:rsidRPr="00A778D6">
        <w:rPr>
          <w:rFonts w:ascii="Times New Roman" w:hAnsi="Times New Roman" w:cs="Times New Roman"/>
          <w:b/>
          <w:bCs/>
          <w:szCs w:val="23"/>
          <w:lang w:val="en-GB"/>
        </w:rPr>
        <w:t>WSG</w:t>
      </w:r>
      <w:r w:rsidR="00A778D6" w:rsidRPr="00A778D6">
        <w:rPr>
          <w:rFonts w:ascii="Times New Roman" w:hAnsi="Times New Roman" w:cs="Times New Roman"/>
          <w:bCs/>
          <w:szCs w:val="23"/>
          <w:lang w:val="en-GB"/>
        </w:rPr>
        <w:t xml:space="preserve"> = west Sardinia graben. The Algerian Maghreb magmatic sites: </w:t>
      </w:r>
      <w:r w:rsidR="00A778D6" w:rsidRPr="00A778D6">
        <w:rPr>
          <w:rFonts w:ascii="Times New Roman" w:hAnsi="Times New Roman" w:cs="Times New Roman"/>
          <w:b/>
          <w:bCs/>
          <w:szCs w:val="23"/>
          <w:lang w:val="en-GB"/>
        </w:rPr>
        <w:t>Or R</w:t>
      </w:r>
      <w:r w:rsidR="00A778D6" w:rsidRPr="00A778D6">
        <w:rPr>
          <w:rFonts w:ascii="Times New Roman" w:hAnsi="Times New Roman" w:cs="Times New Roman"/>
          <w:bCs/>
          <w:szCs w:val="23"/>
          <w:lang w:val="en-GB"/>
        </w:rPr>
        <w:t xml:space="preserve"> = Oranois; </w:t>
      </w:r>
      <w:r w:rsidR="00A778D6" w:rsidRPr="00A778D6">
        <w:rPr>
          <w:rFonts w:ascii="Times New Roman" w:hAnsi="Times New Roman" w:cs="Times New Roman"/>
          <w:b/>
          <w:bCs/>
          <w:szCs w:val="23"/>
          <w:lang w:val="en-GB"/>
        </w:rPr>
        <w:t>Che</w:t>
      </w:r>
      <w:r w:rsidR="00A778D6" w:rsidRPr="00A778D6">
        <w:rPr>
          <w:rFonts w:ascii="Times New Roman" w:hAnsi="Times New Roman" w:cs="Times New Roman"/>
          <w:bCs/>
          <w:szCs w:val="23"/>
          <w:lang w:val="en-GB"/>
        </w:rPr>
        <w:t xml:space="preserve"> = Cherchell; </w:t>
      </w:r>
      <w:r w:rsidR="00A778D6" w:rsidRPr="00A778D6">
        <w:rPr>
          <w:rFonts w:ascii="Times New Roman" w:hAnsi="Times New Roman" w:cs="Times New Roman"/>
          <w:b/>
          <w:bCs/>
          <w:szCs w:val="23"/>
          <w:lang w:val="en-GB"/>
        </w:rPr>
        <w:t xml:space="preserve">EA </w:t>
      </w:r>
      <w:r w:rsidR="00A778D6" w:rsidRPr="00A778D6">
        <w:rPr>
          <w:rFonts w:ascii="Times New Roman" w:hAnsi="Times New Roman" w:cs="Times New Roman"/>
          <w:bCs/>
          <w:szCs w:val="23"/>
          <w:lang w:val="en-GB"/>
        </w:rPr>
        <w:t xml:space="preserve">= East of Algiers; </w:t>
      </w:r>
      <w:r w:rsidR="00A778D6" w:rsidRPr="00A778D6">
        <w:rPr>
          <w:rFonts w:ascii="Times New Roman" w:hAnsi="Times New Roman" w:cs="Times New Roman"/>
          <w:b/>
          <w:bCs/>
          <w:szCs w:val="23"/>
          <w:lang w:val="en-GB"/>
        </w:rPr>
        <w:t xml:space="preserve">GK </w:t>
      </w:r>
      <w:r w:rsidR="00A778D6" w:rsidRPr="00A778D6">
        <w:rPr>
          <w:rFonts w:ascii="Times New Roman" w:hAnsi="Times New Roman" w:cs="Times New Roman"/>
          <w:bCs/>
          <w:szCs w:val="23"/>
          <w:lang w:val="en-GB"/>
        </w:rPr>
        <w:t xml:space="preserve">= Great Kabylia; </w:t>
      </w:r>
      <w:r w:rsidR="00A778D6" w:rsidRPr="00A778D6">
        <w:rPr>
          <w:rFonts w:ascii="Times New Roman" w:hAnsi="Times New Roman" w:cs="Times New Roman"/>
          <w:b/>
          <w:bCs/>
          <w:szCs w:val="23"/>
          <w:lang w:val="en-GB"/>
        </w:rPr>
        <w:t xml:space="preserve">LK </w:t>
      </w:r>
      <w:r w:rsidR="00A778D6" w:rsidRPr="00A778D6">
        <w:rPr>
          <w:rFonts w:ascii="Times New Roman" w:hAnsi="Times New Roman" w:cs="Times New Roman"/>
          <w:bCs/>
          <w:szCs w:val="23"/>
          <w:lang w:val="en-GB"/>
        </w:rPr>
        <w:t>= Little Kabylia</w:t>
      </w:r>
      <w:r w:rsidR="00232314">
        <w:rPr>
          <w:rFonts w:ascii="Times New Roman" w:hAnsi="Times New Roman" w:cs="Times New Roman"/>
          <w:bCs/>
          <w:szCs w:val="23"/>
          <w:lang w:val="en-GB"/>
        </w:rPr>
        <w:t>;</w:t>
      </w:r>
      <w:r w:rsidR="00B366F3">
        <w:rPr>
          <w:rFonts w:ascii="Times New Roman" w:hAnsi="Times New Roman" w:cs="Times New Roman"/>
          <w:bCs/>
          <w:szCs w:val="23"/>
          <w:lang w:val="en-GB"/>
        </w:rPr>
        <w:t xml:space="preserve"> </w:t>
      </w:r>
      <w:r w:rsidR="00232314" w:rsidRPr="00232314">
        <w:rPr>
          <w:rFonts w:ascii="Times New Roman" w:hAnsi="Times New Roman" w:cs="Times New Roman"/>
          <w:b/>
          <w:bCs/>
          <w:szCs w:val="23"/>
          <w:lang w:val="en-GB"/>
        </w:rPr>
        <w:t>41-P</w:t>
      </w:r>
      <w:r w:rsidR="00232314">
        <w:rPr>
          <w:rFonts w:ascii="Times New Roman" w:hAnsi="Times New Roman" w:cs="Times New Roman"/>
          <w:bCs/>
          <w:szCs w:val="23"/>
          <w:lang w:val="en-GB"/>
        </w:rPr>
        <w:t xml:space="preserve"> = 41° parallel fracture zone. </w:t>
      </w:r>
      <w:r w:rsidR="00B366F3">
        <w:rPr>
          <w:rFonts w:ascii="Times New Roman" w:hAnsi="Times New Roman" w:cs="Times New Roman"/>
          <w:bCs/>
          <w:szCs w:val="23"/>
          <w:lang w:val="en-GB"/>
        </w:rPr>
        <w:t>The figure was created using the Plotmap cartographic software</w:t>
      </w:r>
      <w:r w:rsidR="00B366F3" w:rsidRPr="003453E4">
        <w:rPr>
          <w:rFonts w:ascii="Times New Roman" w:hAnsi="Times New Roman" w:cs="Times New Roman"/>
          <w:b/>
          <w:color w:val="0070C0"/>
          <w:sz w:val="24"/>
          <w:szCs w:val="23"/>
          <w:vertAlign w:val="superscript"/>
          <w:lang w:val="en-GB"/>
        </w:rPr>
        <w:t>1</w:t>
      </w:r>
      <w:r w:rsidR="00B366F3" w:rsidRPr="00B366F3">
        <w:rPr>
          <w:rFonts w:ascii="Times New Roman" w:hAnsi="Times New Roman" w:cs="Times New Roman"/>
          <w:b/>
          <w:sz w:val="24"/>
          <w:szCs w:val="23"/>
          <w:lang w:val="en-GB"/>
        </w:rPr>
        <w:t>.</w:t>
      </w:r>
    </w:p>
    <w:p w:rsidR="00A778D6" w:rsidRDefault="00A778D6" w:rsidP="00A778D6">
      <w:pPr>
        <w:pStyle w:val="Testonormale"/>
        <w:spacing w:line="240" w:lineRule="auto"/>
        <w:jc w:val="both"/>
        <w:rPr>
          <w:rFonts w:ascii="Times New Roman" w:hAnsi="Times New Roman" w:cs="Times New Roman"/>
          <w:sz w:val="24"/>
          <w:szCs w:val="23"/>
          <w:lang w:val="en-GB"/>
        </w:rPr>
      </w:pPr>
    </w:p>
    <w:p w:rsidR="00E35EB4" w:rsidRPr="003476F5" w:rsidRDefault="000726F2" w:rsidP="007C3870">
      <w:pPr>
        <w:pStyle w:val="Testonormale"/>
        <w:spacing w:line="240" w:lineRule="auto"/>
        <w:jc w:val="both"/>
        <w:rPr>
          <w:lang w:val="en-GB"/>
        </w:rPr>
      </w:pPr>
      <w:r w:rsidRPr="00A746CB">
        <w:rPr>
          <w:rFonts w:ascii="Times New Roman" w:hAnsi="Times New Roman" w:cs="Times New Roman"/>
          <w:sz w:val="24"/>
          <w:szCs w:val="23"/>
          <w:lang w:val="en-GB"/>
        </w:rPr>
        <w:t xml:space="preserve">major transcurrent structure </w:t>
      </w:r>
      <w:r w:rsidR="00D04852" w:rsidRPr="00A746CB">
        <w:rPr>
          <w:rFonts w:ascii="Times New Roman" w:hAnsi="Times New Roman" w:cs="Times New Roman"/>
          <w:sz w:val="24"/>
          <w:szCs w:val="23"/>
          <w:lang w:val="en-GB"/>
        </w:rPr>
        <w:t xml:space="preserve">known as the “north Balearic fracture zone” or the “Paul Fallot transform fault”) which </w:t>
      </w:r>
      <w:r w:rsidR="00096C38" w:rsidRPr="00A746CB">
        <w:rPr>
          <w:rFonts w:ascii="Times New Roman" w:hAnsi="Times New Roman" w:cs="Times New Roman"/>
          <w:sz w:val="24"/>
          <w:szCs w:val="23"/>
          <w:lang w:val="en-GB"/>
        </w:rPr>
        <w:t xml:space="preserve">dates back </w:t>
      </w:r>
      <w:r w:rsidR="00E94769" w:rsidRPr="00A746CB">
        <w:rPr>
          <w:rFonts w:ascii="Times New Roman" w:hAnsi="Times New Roman" w:cs="Times New Roman"/>
          <w:sz w:val="24"/>
          <w:szCs w:val="23"/>
          <w:lang w:val="en-GB"/>
        </w:rPr>
        <w:t>to</w:t>
      </w:r>
      <w:r w:rsidR="00D04852" w:rsidRPr="00A746CB">
        <w:rPr>
          <w:rFonts w:ascii="Times New Roman" w:hAnsi="Times New Roman" w:cs="Times New Roman"/>
          <w:sz w:val="24"/>
          <w:szCs w:val="23"/>
          <w:lang w:val="en-GB"/>
        </w:rPr>
        <w:t xml:space="preserve"> </w:t>
      </w:r>
      <w:r w:rsidR="00A532B4" w:rsidRPr="00A746CB">
        <w:rPr>
          <w:rFonts w:ascii="Times New Roman" w:hAnsi="Times New Roman" w:cs="Times New Roman"/>
          <w:sz w:val="24"/>
          <w:szCs w:val="23"/>
          <w:lang w:val="en-GB"/>
        </w:rPr>
        <w:t>the plate interactions of</w:t>
      </w:r>
      <w:r w:rsidRPr="00A746CB">
        <w:rPr>
          <w:rFonts w:ascii="Times New Roman" w:hAnsi="Times New Roman" w:cs="Times New Roman"/>
          <w:sz w:val="24"/>
          <w:szCs w:val="23"/>
          <w:lang w:val="en-GB"/>
        </w:rPr>
        <w:t xml:space="preserve"> Hercynian </w:t>
      </w:r>
      <w:r w:rsidR="003453E4">
        <w:rPr>
          <w:rFonts w:ascii="Times New Roman" w:hAnsi="Times New Roman" w:cs="Times New Roman"/>
          <w:sz w:val="24"/>
          <w:szCs w:val="23"/>
          <w:lang w:val="en-GB"/>
        </w:rPr>
        <w:t>age</w:t>
      </w:r>
      <w:r w:rsidR="00D77006" w:rsidRPr="003453E4">
        <w:rPr>
          <w:rFonts w:ascii="Times New Roman" w:hAnsi="Times New Roman" w:cs="Times New Roman"/>
          <w:b/>
          <w:color w:val="0070C0"/>
          <w:sz w:val="24"/>
          <w:szCs w:val="23"/>
          <w:vertAlign w:val="superscript"/>
          <w:lang w:val="en-GB"/>
        </w:rPr>
        <w:t>10</w:t>
      </w:r>
      <w:r w:rsidRPr="00A746CB">
        <w:rPr>
          <w:rFonts w:ascii="Times New Roman" w:hAnsi="Times New Roman" w:cs="Times New Roman"/>
          <w:sz w:val="24"/>
          <w:szCs w:val="23"/>
          <w:lang w:val="en-GB"/>
        </w:rPr>
        <w:t xml:space="preserve">. This structure extending from the Catalan volcanic zone to the magmatic island of La Galite (Tunisian offshore) - hereafter called “Catalan-Tunisian fracture zone” </w:t>
      </w:r>
      <w:r w:rsidR="00DB0233" w:rsidRPr="00A746CB">
        <w:rPr>
          <w:rFonts w:ascii="Times New Roman" w:hAnsi="Times New Roman" w:cs="Times New Roman"/>
          <w:sz w:val="24"/>
          <w:szCs w:val="23"/>
          <w:lang w:val="en-GB"/>
        </w:rPr>
        <w:t xml:space="preserve">- </w:t>
      </w:r>
      <w:r w:rsidR="00E94769" w:rsidRPr="00A746CB">
        <w:rPr>
          <w:rFonts w:ascii="Times New Roman" w:hAnsi="Times New Roman" w:cs="Times New Roman"/>
          <w:sz w:val="24"/>
          <w:szCs w:val="23"/>
          <w:lang w:val="en-GB"/>
        </w:rPr>
        <w:t xml:space="preserve">separates </w:t>
      </w:r>
      <w:r w:rsidRPr="00A746CB">
        <w:rPr>
          <w:rFonts w:ascii="Times New Roman" w:hAnsi="Times New Roman" w:cs="Times New Roman"/>
          <w:sz w:val="24"/>
          <w:szCs w:val="23"/>
          <w:lang w:val="en-GB"/>
        </w:rPr>
        <w:t xml:space="preserve">the western portion of the Mediterranean OAA and European </w:t>
      </w:r>
      <w:r w:rsidR="00140581">
        <w:rPr>
          <w:rFonts w:ascii="Times New Roman" w:hAnsi="Times New Roman" w:cs="Times New Roman"/>
          <w:sz w:val="24"/>
          <w:szCs w:val="23"/>
          <w:lang w:val="en-GB"/>
        </w:rPr>
        <w:t>lithosphere</w:t>
      </w:r>
      <w:r w:rsidR="00DB0233" w:rsidRPr="00A746CB">
        <w:rPr>
          <w:rFonts w:ascii="Times New Roman" w:hAnsi="Times New Roman" w:cs="Times New Roman"/>
          <w:sz w:val="24"/>
          <w:szCs w:val="23"/>
          <w:lang w:val="en-GB"/>
        </w:rPr>
        <w:t xml:space="preserve"> from that to the east</w:t>
      </w:r>
      <w:r w:rsidR="005754CB" w:rsidRPr="00A746CB">
        <w:rPr>
          <w:rFonts w:ascii="Times New Roman" w:hAnsi="Times New Roman" w:cs="Times New Roman"/>
          <w:sz w:val="24"/>
          <w:szCs w:val="23"/>
          <w:lang w:val="en-GB"/>
        </w:rPr>
        <w:t>.</w:t>
      </w:r>
      <w:r w:rsidR="00DB0233" w:rsidRPr="00A746CB">
        <w:rPr>
          <w:rFonts w:ascii="Times New Roman" w:hAnsi="Times New Roman" w:cs="Times New Roman"/>
          <w:sz w:val="24"/>
          <w:szCs w:val="23"/>
          <w:lang w:val="en-GB"/>
        </w:rPr>
        <w:t xml:space="preserve"> </w:t>
      </w:r>
      <w:r w:rsidR="005754CB" w:rsidRPr="00A746CB">
        <w:rPr>
          <w:rFonts w:ascii="Times New Roman" w:hAnsi="Times New Roman" w:cs="Times New Roman"/>
          <w:sz w:val="24"/>
          <w:szCs w:val="23"/>
          <w:lang w:val="en-GB"/>
        </w:rPr>
        <w:t>I</w:t>
      </w:r>
      <w:r w:rsidR="00DB0233" w:rsidRPr="00A746CB">
        <w:rPr>
          <w:rFonts w:ascii="Times New Roman" w:hAnsi="Times New Roman" w:cs="Times New Roman"/>
          <w:sz w:val="24"/>
          <w:szCs w:val="23"/>
          <w:lang w:val="en-GB"/>
        </w:rPr>
        <w:t>n particular</w:t>
      </w:r>
      <w:r w:rsidR="00AD4CAF">
        <w:rPr>
          <w:rFonts w:ascii="Times New Roman" w:hAnsi="Times New Roman" w:cs="Times New Roman"/>
          <w:sz w:val="24"/>
          <w:szCs w:val="23"/>
          <w:lang w:val="en-GB"/>
        </w:rPr>
        <w:t>,</w:t>
      </w:r>
      <w:r w:rsidRPr="00A746CB">
        <w:rPr>
          <w:rFonts w:ascii="Times New Roman" w:hAnsi="Times New Roman" w:cs="Times New Roman"/>
          <w:sz w:val="24"/>
          <w:szCs w:val="23"/>
          <w:lang w:val="en-GB"/>
        </w:rPr>
        <w:t xml:space="preserve"> </w:t>
      </w:r>
      <w:r w:rsidR="00A02433" w:rsidRPr="00A746CB">
        <w:rPr>
          <w:rFonts w:ascii="Times New Roman" w:hAnsi="Times New Roman" w:cs="Times New Roman"/>
          <w:sz w:val="24"/>
          <w:szCs w:val="23"/>
          <w:lang w:val="en-GB"/>
        </w:rPr>
        <w:t>the fracture</w:t>
      </w:r>
      <w:r w:rsidR="005754CB" w:rsidRPr="00A746CB">
        <w:rPr>
          <w:rFonts w:ascii="Times New Roman" w:hAnsi="Times New Roman" w:cs="Times New Roman"/>
          <w:sz w:val="24"/>
          <w:szCs w:val="23"/>
          <w:lang w:val="en-GB"/>
        </w:rPr>
        <w:t xml:space="preserve"> </w:t>
      </w:r>
      <w:r w:rsidR="00AD4CAF">
        <w:rPr>
          <w:rFonts w:ascii="Times New Roman" w:hAnsi="Times New Roman" w:cs="Times New Roman"/>
          <w:sz w:val="24"/>
          <w:szCs w:val="23"/>
          <w:lang w:val="en-GB"/>
        </w:rPr>
        <w:t xml:space="preserve">zone </w:t>
      </w:r>
      <w:r w:rsidR="00AD4CAF" w:rsidRPr="00A746CB">
        <w:rPr>
          <w:rFonts w:ascii="Times New Roman" w:hAnsi="Times New Roman" w:cs="Times New Roman"/>
          <w:sz w:val="24"/>
          <w:szCs w:val="23"/>
          <w:lang w:val="en-GB"/>
        </w:rPr>
        <w:t>divide</w:t>
      </w:r>
      <w:r w:rsidR="00AD4CAF">
        <w:rPr>
          <w:rFonts w:ascii="Times New Roman" w:hAnsi="Times New Roman" w:cs="Times New Roman"/>
          <w:sz w:val="24"/>
          <w:szCs w:val="23"/>
          <w:lang w:val="en-GB"/>
        </w:rPr>
        <w:t>s</w:t>
      </w:r>
      <w:r w:rsidR="005754CB" w:rsidRPr="00A746CB">
        <w:rPr>
          <w:rFonts w:ascii="Times New Roman" w:hAnsi="Times New Roman" w:cs="Times New Roman"/>
          <w:sz w:val="24"/>
          <w:szCs w:val="23"/>
          <w:lang w:val="en-GB"/>
        </w:rPr>
        <w:t xml:space="preserve"> </w:t>
      </w:r>
      <w:r w:rsidR="00A02433" w:rsidRPr="00A746CB">
        <w:rPr>
          <w:rFonts w:ascii="Times New Roman" w:hAnsi="Times New Roman" w:cs="Times New Roman"/>
          <w:sz w:val="24"/>
          <w:szCs w:val="23"/>
          <w:lang w:val="en-GB"/>
        </w:rPr>
        <w:t xml:space="preserve">the </w:t>
      </w:r>
      <w:r w:rsidR="00B2749F" w:rsidRPr="00A746CB">
        <w:rPr>
          <w:rFonts w:ascii="Times New Roman" w:hAnsi="Times New Roman" w:cs="Times New Roman"/>
          <w:sz w:val="24"/>
          <w:szCs w:val="23"/>
          <w:lang w:val="en-GB"/>
        </w:rPr>
        <w:t xml:space="preserve">Sardinia-Provence </w:t>
      </w:r>
      <w:r w:rsidR="00FF34F1">
        <w:rPr>
          <w:rFonts w:ascii="Times New Roman" w:hAnsi="Times New Roman" w:cs="Times New Roman"/>
          <w:sz w:val="24"/>
          <w:szCs w:val="23"/>
          <w:lang w:val="en-GB"/>
        </w:rPr>
        <w:t xml:space="preserve">oceanic </w:t>
      </w:r>
      <w:r w:rsidR="00AD4CAF" w:rsidRPr="00A746CB">
        <w:rPr>
          <w:rFonts w:ascii="Times New Roman" w:hAnsi="Times New Roman" w:cs="Times New Roman"/>
          <w:sz w:val="24"/>
          <w:szCs w:val="23"/>
          <w:lang w:val="en-GB"/>
        </w:rPr>
        <w:t xml:space="preserve">basin </w:t>
      </w:r>
      <w:r w:rsidR="00B2749F" w:rsidRPr="00A746CB">
        <w:rPr>
          <w:rFonts w:ascii="Times New Roman" w:hAnsi="Times New Roman" w:cs="Times New Roman"/>
          <w:sz w:val="24"/>
          <w:szCs w:val="23"/>
          <w:lang w:val="en-GB"/>
        </w:rPr>
        <w:t xml:space="preserve">(European </w:t>
      </w:r>
      <w:r w:rsidR="00140581">
        <w:rPr>
          <w:rFonts w:ascii="Times New Roman" w:hAnsi="Times New Roman" w:cs="Times New Roman"/>
          <w:sz w:val="24"/>
          <w:szCs w:val="23"/>
          <w:lang w:val="en-GB"/>
        </w:rPr>
        <w:t>lithosphere</w:t>
      </w:r>
      <w:r w:rsidR="00B2749F" w:rsidRPr="00A746CB">
        <w:rPr>
          <w:rFonts w:ascii="Times New Roman" w:hAnsi="Times New Roman" w:cs="Times New Roman"/>
          <w:sz w:val="24"/>
          <w:szCs w:val="23"/>
          <w:lang w:val="en-GB"/>
        </w:rPr>
        <w:t xml:space="preserve">) </w:t>
      </w:r>
      <w:r w:rsidR="00AD4CAF">
        <w:rPr>
          <w:rFonts w:ascii="Times New Roman" w:hAnsi="Times New Roman" w:cs="Times New Roman"/>
          <w:sz w:val="24"/>
          <w:szCs w:val="23"/>
          <w:lang w:val="en-GB"/>
        </w:rPr>
        <w:t>from the</w:t>
      </w:r>
      <w:r w:rsidR="00B2749F" w:rsidRPr="00A746CB">
        <w:rPr>
          <w:rFonts w:ascii="Times New Roman" w:hAnsi="Times New Roman" w:cs="Times New Roman"/>
          <w:sz w:val="24"/>
          <w:szCs w:val="23"/>
          <w:lang w:val="en-GB"/>
        </w:rPr>
        <w:t xml:space="preserve"> </w:t>
      </w:r>
      <w:r w:rsidR="00A02433" w:rsidRPr="00A746CB">
        <w:rPr>
          <w:rFonts w:ascii="Times New Roman" w:hAnsi="Times New Roman" w:cs="Times New Roman"/>
          <w:sz w:val="24"/>
          <w:szCs w:val="23"/>
          <w:lang w:val="en-GB"/>
        </w:rPr>
        <w:t>north Algeria</w:t>
      </w:r>
      <w:r w:rsidR="00AD4CAF">
        <w:rPr>
          <w:rFonts w:ascii="Times New Roman" w:hAnsi="Times New Roman" w:cs="Times New Roman"/>
          <w:sz w:val="24"/>
          <w:szCs w:val="23"/>
          <w:lang w:val="en-GB"/>
        </w:rPr>
        <w:t>n</w:t>
      </w:r>
      <w:r w:rsidR="00A02433" w:rsidRPr="00A746CB">
        <w:rPr>
          <w:rFonts w:ascii="Times New Roman" w:hAnsi="Times New Roman" w:cs="Times New Roman"/>
          <w:sz w:val="24"/>
          <w:szCs w:val="23"/>
          <w:lang w:val="en-GB"/>
        </w:rPr>
        <w:t xml:space="preserve"> </w:t>
      </w:r>
      <w:r w:rsidR="00AD4CAF">
        <w:rPr>
          <w:rFonts w:ascii="Times New Roman" w:hAnsi="Times New Roman" w:cs="Times New Roman"/>
          <w:sz w:val="24"/>
          <w:szCs w:val="23"/>
          <w:lang w:val="en-GB"/>
        </w:rPr>
        <w:t xml:space="preserve">basin </w:t>
      </w:r>
      <w:r w:rsidR="00A02433" w:rsidRPr="00A746CB">
        <w:rPr>
          <w:rFonts w:ascii="Times New Roman" w:hAnsi="Times New Roman" w:cs="Times New Roman"/>
          <w:sz w:val="24"/>
          <w:szCs w:val="23"/>
          <w:lang w:val="en-GB"/>
        </w:rPr>
        <w:t>(</w:t>
      </w:r>
      <w:r w:rsidR="00DB0233" w:rsidRPr="00A746CB">
        <w:rPr>
          <w:rFonts w:ascii="Times New Roman" w:hAnsi="Times New Roman" w:cs="Times New Roman"/>
          <w:sz w:val="24"/>
          <w:szCs w:val="23"/>
          <w:lang w:val="en-GB"/>
        </w:rPr>
        <w:t>the western portion of the OAA</w:t>
      </w:r>
      <w:r w:rsidR="00A02433" w:rsidRPr="00A746CB">
        <w:rPr>
          <w:rFonts w:ascii="Times New Roman" w:hAnsi="Times New Roman" w:cs="Times New Roman"/>
          <w:sz w:val="24"/>
          <w:szCs w:val="23"/>
          <w:lang w:val="en-GB"/>
        </w:rPr>
        <w:t>)</w:t>
      </w:r>
      <w:r w:rsidR="00DB0233" w:rsidRPr="00A746CB">
        <w:rPr>
          <w:rFonts w:ascii="Times New Roman" w:hAnsi="Times New Roman" w:cs="Times New Roman"/>
          <w:sz w:val="24"/>
          <w:szCs w:val="23"/>
          <w:lang w:val="en-GB"/>
        </w:rPr>
        <w:t>, and</w:t>
      </w:r>
      <w:r w:rsidR="00CB7FF9" w:rsidRPr="00A746CB">
        <w:rPr>
          <w:rFonts w:ascii="Times New Roman" w:hAnsi="Times New Roman" w:cs="Times New Roman"/>
          <w:sz w:val="24"/>
          <w:szCs w:val="23"/>
          <w:lang w:val="en-GB"/>
        </w:rPr>
        <w:t xml:space="preserve"> </w:t>
      </w:r>
      <w:r w:rsidR="00D67348">
        <w:rPr>
          <w:rFonts w:ascii="Times New Roman" w:hAnsi="Times New Roman" w:cs="Times New Roman"/>
          <w:sz w:val="24"/>
          <w:szCs w:val="23"/>
          <w:lang w:val="en-GB"/>
        </w:rPr>
        <w:t xml:space="preserve">this from the </w:t>
      </w:r>
      <w:r w:rsidR="00AD4CAF">
        <w:rPr>
          <w:rFonts w:ascii="Times New Roman" w:hAnsi="Times New Roman" w:cs="Times New Roman"/>
          <w:sz w:val="24"/>
          <w:szCs w:val="23"/>
          <w:lang w:val="en-GB"/>
        </w:rPr>
        <w:t>OAA</w:t>
      </w:r>
      <w:r w:rsidR="00A02433" w:rsidRPr="00A746CB">
        <w:rPr>
          <w:rFonts w:ascii="Times New Roman" w:hAnsi="Times New Roman" w:cs="Times New Roman"/>
          <w:sz w:val="24"/>
          <w:szCs w:val="23"/>
          <w:lang w:val="en-GB"/>
        </w:rPr>
        <w:t xml:space="preserve"> portion </w:t>
      </w:r>
      <w:r w:rsidR="00D67348">
        <w:rPr>
          <w:rFonts w:ascii="Times New Roman" w:hAnsi="Times New Roman" w:cs="Times New Roman"/>
          <w:sz w:val="24"/>
          <w:szCs w:val="23"/>
          <w:lang w:val="en-GB"/>
        </w:rPr>
        <w:t xml:space="preserve">that will see </w:t>
      </w:r>
      <w:r w:rsidR="00A02433" w:rsidRPr="00A746CB">
        <w:rPr>
          <w:rFonts w:ascii="Times New Roman" w:hAnsi="Times New Roman" w:cs="Times New Roman"/>
          <w:sz w:val="24"/>
          <w:szCs w:val="23"/>
          <w:lang w:val="en-GB"/>
        </w:rPr>
        <w:t xml:space="preserve">the </w:t>
      </w:r>
      <w:r w:rsidR="00331A8E" w:rsidRPr="00A746CB">
        <w:rPr>
          <w:rFonts w:ascii="Times New Roman" w:hAnsi="Times New Roman" w:cs="Times New Roman"/>
          <w:sz w:val="24"/>
          <w:szCs w:val="23"/>
          <w:lang w:val="en-GB"/>
        </w:rPr>
        <w:t xml:space="preserve">Tyrrhenian </w:t>
      </w:r>
      <w:r w:rsidR="00D67348">
        <w:rPr>
          <w:rFonts w:ascii="Times New Roman" w:hAnsi="Times New Roman" w:cs="Times New Roman"/>
          <w:sz w:val="24"/>
          <w:szCs w:val="23"/>
          <w:lang w:val="en-GB"/>
        </w:rPr>
        <w:t>open</w:t>
      </w:r>
      <w:r w:rsidR="00FF34F1">
        <w:rPr>
          <w:rFonts w:ascii="Times New Roman" w:hAnsi="Times New Roman" w:cs="Times New Roman"/>
          <w:sz w:val="24"/>
          <w:szCs w:val="23"/>
          <w:lang w:val="en-GB"/>
        </w:rPr>
        <w:t>ing</w:t>
      </w:r>
      <w:r w:rsidR="00B2749F" w:rsidRPr="00A746CB">
        <w:rPr>
          <w:rFonts w:ascii="Times New Roman" w:hAnsi="Times New Roman" w:cs="Times New Roman"/>
          <w:sz w:val="24"/>
          <w:szCs w:val="23"/>
          <w:lang w:val="en-GB"/>
        </w:rPr>
        <w:t xml:space="preserve">. </w:t>
      </w:r>
      <w:r w:rsidR="001B2EAE">
        <w:rPr>
          <w:rFonts w:ascii="Times New Roman" w:hAnsi="Times New Roman" w:cs="Times New Roman"/>
          <w:sz w:val="24"/>
          <w:szCs w:val="23"/>
          <w:lang w:val="en-GB"/>
        </w:rPr>
        <w:t xml:space="preserve">Another major </w:t>
      </w:r>
      <w:r w:rsidR="003927AD" w:rsidRPr="00A746CB">
        <w:rPr>
          <w:rFonts w:ascii="Times New Roman" w:hAnsi="Times New Roman" w:cs="Times New Roman"/>
          <w:sz w:val="24"/>
          <w:szCs w:val="23"/>
          <w:lang w:val="en-GB"/>
        </w:rPr>
        <w:t xml:space="preserve">lineation zone is </w:t>
      </w:r>
      <w:r w:rsidR="001B2EAE">
        <w:rPr>
          <w:rFonts w:ascii="Times New Roman" w:hAnsi="Times New Roman" w:cs="Times New Roman"/>
          <w:sz w:val="24"/>
          <w:szCs w:val="23"/>
          <w:lang w:val="en-GB"/>
        </w:rPr>
        <w:t>found along t</w:t>
      </w:r>
      <w:r w:rsidR="001B2EAE" w:rsidRPr="00A746CB">
        <w:rPr>
          <w:rFonts w:ascii="Times New Roman" w:hAnsi="Times New Roman" w:cs="Times New Roman"/>
          <w:sz w:val="24"/>
          <w:szCs w:val="23"/>
          <w:lang w:val="en-GB"/>
        </w:rPr>
        <w:t>he 41° parallel</w:t>
      </w:r>
      <w:r w:rsidR="00C51A69">
        <w:rPr>
          <w:rFonts w:ascii="Times New Roman" w:hAnsi="Times New Roman" w:cs="Times New Roman"/>
          <w:sz w:val="24"/>
          <w:szCs w:val="23"/>
          <w:lang w:val="en-GB"/>
        </w:rPr>
        <w:t>. It</w:t>
      </w:r>
      <w:r w:rsidR="001B2EAE" w:rsidRPr="00A746CB">
        <w:rPr>
          <w:rFonts w:ascii="Times New Roman" w:hAnsi="Times New Roman" w:cs="Times New Roman"/>
          <w:sz w:val="24"/>
          <w:szCs w:val="23"/>
          <w:lang w:val="en-GB"/>
        </w:rPr>
        <w:t xml:space="preserve"> </w:t>
      </w:r>
      <w:r w:rsidR="001B2EAE">
        <w:rPr>
          <w:rFonts w:ascii="Times New Roman" w:hAnsi="Times New Roman" w:cs="Times New Roman"/>
          <w:sz w:val="24"/>
          <w:szCs w:val="23"/>
          <w:lang w:val="en-GB"/>
        </w:rPr>
        <w:t>separat</w:t>
      </w:r>
      <w:r w:rsidR="00C51A69">
        <w:rPr>
          <w:rFonts w:ascii="Times New Roman" w:hAnsi="Times New Roman" w:cs="Times New Roman"/>
          <w:sz w:val="24"/>
          <w:szCs w:val="23"/>
          <w:lang w:val="en-GB"/>
        </w:rPr>
        <w:t>es</w:t>
      </w:r>
      <w:r w:rsidR="001B2EAE">
        <w:rPr>
          <w:rFonts w:ascii="Times New Roman" w:hAnsi="Times New Roman" w:cs="Times New Roman"/>
          <w:sz w:val="24"/>
          <w:szCs w:val="23"/>
          <w:lang w:val="en-GB"/>
        </w:rPr>
        <w:t xml:space="preserve"> </w:t>
      </w:r>
      <w:r w:rsidR="003927AD" w:rsidRPr="00A746CB">
        <w:rPr>
          <w:rFonts w:ascii="Times New Roman" w:hAnsi="Times New Roman" w:cs="Times New Roman"/>
          <w:sz w:val="24"/>
          <w:szCs w:val="23"/>
          <w:lang w:val="en-GB"/>
        </w:rPr>
        <w:t xml:space="preserve">the north and south Tyrrhenian </w:t>
      </w:r>
      <w:r w:rsidR="00C51A69">
        <w:rPr>
          <w:rFonts w:ascii="Times New Roman" w:hAnsi="Times New Roman" w:cs="Times New Roman"/>
          <w:sz w:val="24"/>
          <w:szCs w:val="23"/>
          <w:lang w:val="en-GB"/>
        </w:rPr>
        <w:t>where</w:t>
      </w:r>
      <w:r w:rsidR="001B2EAE">
        <w:rPr>
          <w:rFonts w:ascii="Times New Roman" w:hAnsi="Times New Roman" w:cs="Times New Roman"/>
          <w:sz w:val="24"/>
          <w:szCs w:val="23"/>
          <w:lang w:val="en-GB"/>
        </w:rPr>
        <w:t xml:space="preserve"> </w:t>
      </w:r>
      <w:r w:rsidR="003927AD" w:rsidRPr="00A746CB">
        <w:rPr>
          <w:rFonts w:ascii="Times New Roman" w:hAnsi="Times New Roman" w:cs="Times New Roman"/>
          <w:sz w:val="24"/>
          <w:szCs w:val="23"/>
          <w:lang w:val="en-GB"/>
        </w:rPr>
        <w:t xml:space="preserve">thinned continental </w:t>
      </w:r>
      <w:r w:rsidR="00C51A69">
        <w:rPr>
          <w:rFonts w:ascii="Times New Roman" w:hAnsi="Times New Roman" w:cs="Times New Roman"/>
          <w:sz w:val="24"/>
          <w:szCs w:val="23"/>
          <w:lang w:val="en-GB"/>
        </w:rPr>
        <w:t>and</w:t>
      </w:r>
      <w:r w:rsidR="003927AD" w:rsidRPr="00A746CB">
        <w:rPr>
          <w:rFonts w:ascii="Times New Roman" w:hAnsi="Times New Roman" w:cs="Times New Roman"/>
          <w:sz w:val="24"/>
          <w:szCs w:val="23"/>
          <w:lang w:val="en-GB"/>
        </w:rPr>
        <w:t xml:space="preserve"> oceanic </w:t>
      </w:r>
      <w:r w:rsidR="001B2EAE">
        <w:rPr>
          <w:rFonts w:ascii="Times New Roman" w:hAnsi="Times New Roman" w:cs="Times New Roman"/>
          <w:sz w:val="24"/>
          <w:szCs w:val="23"/>
          <w:lang w:val="en-GB"/>
        </w:rPr>
        <w:t>lithosphere</w:t>
      </w:r>
      <w:r w:rsidR="003927AD" w:rsidRPr="00A746CB">
        <w:rPr>
          <w:rFonts w:ascii="Times New Roman" w:hAnsi="Times New Roman" w:cs="Times New Roman"/>
          <w:sz w:val="24"/>
          <w:szCs w:val="23"/>
          <w:lang w:val="en-GB"/>
        </w:rPr>
        <w:t xml:space="preserve"> </w:t>
      </w:r>
      <w:r w:rsidR="001B2EAE">
        <w:rPr>
          <w:rFonts w:ascii="Times New Roman" w:hAnsi="Times New Roman" w:cs="Times New Roman"/>
          <w:sz w:val="24"/>
          <w:szCs w:val="23"/>
          <w:lang w:val="en-GB"/>
        </w:rPr>
        <w:t>are rimmed</w:t>
      </w:r>
      <w:r w:rsidR="003927AD" w:rsidRPr="00A746CB">
        <w:rPr>
          <w:rFonts w:ascii="Times New Roman" w:hAnsi="Times New Roman" w:cs="Times New Roman"/>
          <w:sz w:val="24"/>
          <w:szCs w:val="23"/>
          <w:lang w:val="en-GB"/>
        </w:rPr>
        <w:t xml:space="preserve"> </w:t>
      </w:r>
      <w:r w:rsidR="00913F1F">
        <w:rPr>
          <w:rFonts w:ascii="Times New Roman" w:hAnsi="Times New Roman" w:cs="Times New Roman"/>
          <w:sz w:val="24"/>
          <w:szCs w:val="23"/>
          <w:lang w:val="en-GB"/>
        </w:rPr>
        <w:t xml:space="preserve">by the </w:t>
      </w:r>
      <w:r w:rsidR="00C51A69" w:rsidRPr="00A746CB">
        <w:rPr>
          <w:rFonts w:ascii="Times New Roman" w:hAnsi="Times New Roman" w:cs="Times New Roman"/>
          <w:sz w:val="24"/>
          <w:szCs w:val="23"/>
          <w:lang w:val="en-GB"/>
        </w:rPr>
        <w:t xml:space="preserve">the </w:t>
      </w:r>
      <w:r w:rsidR="00C51A69">
        <w:rPr>
          <w:rFonts w:ascii="Times New Roman" w:hAnsi="Times New Roman" w:cs="Times New Roman"/>
          <w:sz w:val="24"/>
          <w:szCs w:val="23"/>
          <w:lang w:val="en-GB"/>
        </w:rPr>
        <w:t xml:space="preserve">north and south </w:t>
      </w:r>
      <w:r w:rsidR="00C51A69" w:rsidRPr="00A746CB">
        <w:rPr>
          <w:rFonts w:ascii="Times New Roman" w:hAnsi="Times New Roman" w:cs="Times New Roman"/>
          <w:sz w:val="24"/>
          <w:szCs w:val="23"/>
          <w:lang w:val="en-GB"/>
        </w:rPr>
        <w:t>Apennines</w:t>
      </w:r>
      <w:r w:rsidR="00C51A69">
        <w:rPr>
          <w:rFonts w:ascii="Times New Roman" w:hAnsi="Times New Roman" w:cs="Times New Roman"/>
          <w:sz w:val="24"/>
          <w:szCs w:val="23"/>
          <w:lang w:val="en-GB"/>
        </w:rPr>
        <w:t xml:space="preserve"> which </w:t>
      </w:r>
      <w:r w:rsidR="00C51A69" w:rsidRPr="00A746CB">
        <w:rPr>
          <w:rFonts w:ascii="Times New Roman" w:hAnsi="Times New Roman" w:cs="Times New Roman"/>
          <w:sz w:val="24"/>
          <w:szCs w:val="23"/>
          <w:lang w:val="en-GB"/>
        </w:rPr>
        <w:t>rotat</w:t>
      </w:r>
      <w:r w:rsidR="00C51A69">
        <w:rPr>
          <w:rFonts w:ascii="Times New Roman" w:hAnsi="Times New Roman" w:cs="Times New Roman"/>
          <w:sz w:val="24"/>
          <w:szCs w:val="23"/>
          <w:lang w:val="en-GB"/>
        </w:rPr>
        <w:t xml:space="preserve">ed </w:t>
      </w:r>
      <w:r w:rsidR="003927AD" w:rsidRPr="00A746CB">
        <w:rPr>
          <w:rFonts w:ascii="Times New Roman" w:hAnsi="Times New Roman" w:cs="Times New Roman"/>
          <w:sz w:val="24"/>
          <w:szCs w:val="23"/>
          <w:lang w:val="en-GB"/>
        </w:rPr>
        <w:t xml:space="preserve">counter-clockwise and </w:t>
      </w:r>
      <w:r w:rsidR="00614340" w:rsidRPr="00A746CB">
        <w:rPr>
          <w:rFonts w:ascii="Times New Roman" w:hAnsi="Times New Roman" w:cs="Times New Roman"/>
          <w:sz w:val="24"/>
          <w:szCs w:val="23"/>
          <w:lang w:val="en-GB"/>
        </w:rPr>
        <w:t>clockwise</w:t>
      </w:r>
      <w:r w:rsidR="00C51A69">
        <w:rPr>
          <w:rFonts w:ascii="Times New Roman" w:hAnsi="Times New Roman" w:cs="Times New Roman"/>
          <w:sz w:val="24"/>
          <w:szCs w:val="23"/>
          <w:lang w:val="en-GB"/>
        </w:rPr>
        <w:t>,</w:t>
      </w:r>
      <w:r w:rsidR="00614340" w:rsidRPr="00A746CB">
        <w:rPr>
          <w:rFonts w:ascii="Times New Roman" w:hAnsi="Times New Roman" w:cs="Times New Roman"/>
          <w:sz w:val="24"/>
          <w:szCs w:val="23"/>
          <w:lang w:val="en-GB"/>
        </w:rPr>
        <w:t xml:space="preserve"> </w:t>
      </w:r>
      <w:r w:rsidR="00055AF1">
        <w:rPr>
          <w:rFonts w:ascii="Times New Roman" w:hAnsi="Times New Roman" w:cs="Times New Roman"/>
          <w:sz w:val="24"/>
          <w:szCs w:val="23"/>
          <w:lang w:val="en-GB"/>
        </w:rPr>
        <w:t>respectively</w:t>
      </w:r>
      <w:r w:rsidR="00901FBA" w:rsidRPr="00055AF1">
        <w:rPr>
          <w:rFonts w:ascii="Times New Roman" w:hAnsi="Times New Roman" w:cs="Times New Roman"/>
          <w:b/>
          <w:color w:val="0070C0"/>
          <w:sz w:val="24"/>
          <w:szCs w:val="23"/>
          <w:vertAlign w:val="superscript"/>
          <w:lang w:val="en-GB"/>
        </w:rPr>
        <w:t>1</w:t>
      </w:r>
      <w:r w:rsidR="00055AF1">
        <w:rPr>
          <w:rFonts w:ascii="Times New Roman" w:hAnsi="Times New Roman" w:cs="Times New Roman"/>
          <w:b/>
          <w:color w:val="0070C0"/>
          <w:sz w:val="24"/>
          <w:szCs w:val="23"/>
          <w:vertAlign w:val="superscript"/>
          <w:lang w:val="en-GB"/>
        </w:rPr>
        <w:t>1</w:t>
      </w:r>
      <w:r w:rsidR="00055AF1">
        <w:rPr>
          <w:rFonts w:ascii="Times New Roman" w:hAnsi="Times New Roman" w:cs="Times New Roman"/>
          <w:sz w:val="24"/>
          <w:szCs w:val="23"/>
          <w:lang w:val="en-GB"/>
        </w:rPr>
        <w:t>.</w:t>
      </w:r>
      <w:r w:rsidR="007C3870">
        <w:rPr>
          <w:rFonts w:ascii="Times New Roman" w:hAnsi="Times New Roman" w:cs="Times New Roman"/>
          <w:sz w:val="24"/>
          <w:szCs w:val="23"/>
          <w:lang w:val="en-GB"/>
        </w:rPr>
        <w:t xml:space="preserve"> </w:t>
      </w:r>
    </w:p>
    <w:p w:rsidR="00845522" w:rsidRDefault="004A421D" w:rsidP="001B79A4">
      <w:pPr>
        <w:spacing w:line="240" w:lineRule="auto"/>
        <w:ind w:firstLine="720"/>
        <w:rPr>
          <w:szCs w:val="23"/>
        </w:rPr>
      </w:pPr>
      <w:r w:rsidRPr="00A746CB">
        <w:rPr>
          <w:szCs w:val="23"/>
        </w:rPr>
        <w:t xml:space="preserve">In the Earth Sciences, a generally accepted idea is that magmatism of calc-alkaline </w:t>
      </w:r>
      <w:r w:rsidRPr="00A746CB">
        <w:rPr>
          <w:bCs/>
          <w:szCs w:val="23"/>
        </w:rPr>
        <w:t xml:space="preserve">type </w:t>
      </w:r>
      <w:r w:rsidRPr="00A746CB">
        <w:rPr>
          <w:szCs w:val="23"/>
        </w:rPr>
        <w:t xml:space="preserve">results from partial melting of sources which </w:t>
      </w:r>
      <w:r w:rsidR="00232EFA" w:rsidRPr="00A746CB">
        <w:rPr>
          <w:szCs w:val="23"/>
        </w:rPr>
        <w:t>underwent</w:t>
      </w:r>
      <w:r w:rsidRPr="00A746CB">
        <w:rPr>
          <w:szCs w:val="23"/>
        </w:rPr>
        <w:t xml:space="preserve"> metasomatic modification via chemical recycling of subducted (mainly upper) crustal material. Though, the temporal interval between subduction and igneous manifestations is matter of debate. The pervasive </w:t>
      </w:r>
      <w:r w:rsidRPr="00681EA6">
        <w:t xml:space="preserve">presence of </w:t>
      </w:r>
      <w:r w:rsidR="00681EA6" w:rsidRPr="00681EA6">
        <w:t xml:space="preserve">calc-alkaline </w:t>
      </w:r>
      <w:r w:rsidR="00913F1F">
        <w:t>volcanism</w:t>
      </w:r>
      <w:r w:rsidRPr="00681EA6">
        <w:t xml:space="preserve"> above the zones of Recent plate convergence is probably at</w:t>
      </w:r>
      <w:r w:rsidRPr="00A746CB">
        <w:rPr>
          <w:szCs w:val="23"/>
        </w:rPr>
        <w:t xml:space="preserve"> the origin of the tenet that melt uprising and metasomatism overlapped in time with subduction and metamorphism also in the geological past. </w:t>
      </w:r>
      <w:r w:rsidR="00681EA6">
        <w:rPr>
          <w:szCs w:val="23"/>
        </w:rPr>
        <w:t>On the other hand</w:t>
      </w:r>
      <w:r w:rsidRPr="00A746CB">
        <w:rPr>
          <w:szCs w:val="23"/>
        </w:rPr>
        <w:t>, th</w:t>
      </w:r>
      <w:r w:rsidR="00913F1F">
        <w:rPr>
          <w:szCs w:val="23"/>
        </w:rPr>
        <w:t>e geological record suggests that</w:t>
      </w:r>
      <w:r w:rsidRPr="00A746CB">
        <w:rPr>
          <w:szCs w:val="23"/>
        </w:rPr>
        <w:t xml:space="preserve"> </w:t>
      </w:r>
      <w:r w:rsidR="00681EA6" w:rsidRPr="00681EA6">
        <w:t xml:space="preserve">calc-alkaline </w:t>
      </w:r>
      <w:r w:rsidR="00913F1F">
        <w:rPr>
          <w:szCs w:val="23"/>
        </w:rPr>
        <w:t>volcanism</w:t>
      </w:r>
      <w:r w:rsidR="00913F1F" w:rsidRPr="00A746CB">
        <w:rPr>
          <w:szCs w:val="23"/>
        </w:rPr>
        <w:t xml:space="preserve"> </w:t>
      </w:r>
      <w:r w:rsidR="00913F1F">
        <w:rPr>
          <w:szCs w:val="23"/>
        </w:rPr>
        <w:t xml:space="preserve">occurred, too, </w:t>
      </w:r>
      <w:r w:rsidRPr="00A746CB">
        <w:rPr>
          <w:szCs w:val="23"/>
        </w:rPr>
        <w:t>in rift setting far from subduction</w:t>
      </w:r>
      <w:r w:rsidR="00562EC8">
        <w:rPr>
          <w:szCs w:val="23"/>
        </w:rPr>
        <w:t>,</w:t>
      </w:r>
      <w:r w:rsidRPr="00A746CB">
        <w:rPr>
          <w:szCs w:val="23"/>
        </w:rPr>
        <w:t xml:space="preserve"> </w:t>
      </w:r>
      <w:r w:rsidR="00562EC8">
        <w:rPr>
          <w:szCs w:val="23"/>
        </w:rPr>
        <w:t>which</w:t>
      </w:r>
      <w:r w:rsidRPr="00A746CB">
        <w:rPr>
          <w:szCs w:val="23"/>
        </w:rPr>
        <w:t xml:space="preserve"> implicates that metasomatism and metamorphism took most likely place earlier than the eruptive activity. The temporal gap between </w:t>
      </w:r>
      <w:r w:rsidR="008E2053" w:rsidRPr="00A746CB">
        <w:rPr>
          <w:szCs w:val="23"/>
        </w:rPr>
        <w:t xml:space="preserve">the metasomatism </w:t>
      </w:r>
      <w:r w:rsidR="00681EA6">
        <w:rPr>
          <w:szCs w:val="23"/>
        </w:rPr>
        <w:t>linked to</w:t>
      </w:r>
      <w:r w:rsidR="008E2053" w:rsidRPr="00A746CB">
        <w:rPr>
          <w:szCs w:val="23"/>
        </w:rPr>
        <w:t xml:space="preserve"> the tectonic mode of </w:t>
      </w:r>
      <w:r w:rsidRPr="00A746CB">
        <w:rPr>
          <w:szCs w:val="23"/>
        </w:rPr>
        <w:t xml:space="preserve">plate convergence and </w:t>
      </w:r>
      <w:r w:rsidR="00913F1F">
        <w:rPr>
          <w:szCs w:val="23"/>
        </w:rPr>
        <w:t>volcanism</w:t>
      </w:r>
      <w:r w:rsidR="008E2053" w:rsidRPr="00A746CB">
        <w:rPr>
          <w:szCs w:val="23"/>
        </w:rPr>
        <w:t xml:space="preserve"> </w:t>
      </w:r>
      <w:r w:rsidRPr="00A746CB">
        <w:rPr>
          <w:szCs w:val="23"/>
        </w:rPr>
        <w:t xml:space="preserve">of calc-alkaline type can be highly variable. </w:t>
      </w:r>
      <w:r w:rsidR="00616808">
        <w:rPr>
          <w:szCs w:val="23"/>
        </w:rPr>
        <w:t>T</w:t>
      </w:r>
      <w:r w:rsidR="00232EFA" w:rsidRPr="00A746CB">
        <w:rPr>
          <w:szCs w:val="23"/>
        </w:rPr>
        <w:t xml:space="preserve">he </w:t>
      </w:r>
      <w:r w:rsidR="00616808" w:rsidRPr="00A746CB">
        <w:rPr>
          <w:szCs w:val="23"/>
        </w:rPr>
        <w:t xml:space="preserve">episodes of oceanic basin opening </w:t>
      </w:r>
      <w:r w:rsidR="00616808">
        <w:rPr>
          <w:szCs w:val="23"/>
        </w:rPr>
        <w:t>and the</w:t>
      </w:r>
      <w:r w:rsidR="008E7F98">
        <w:rPr>
          <w:szCs w:val="23"/>
        </w:rPr>
        <w:t xml:space="preserve">ir </w:t>
      </w:r>
      <w:r w:rsidR="00616808">
        <w:rPr>
          <w:szCs w:val="23"/>
        </w:rPr>
        <w:t>space-</w:t>
      </w:r>
      <w:r w:rsidR="008E2053" w:rsidRPr="00A746CB">
        <w:rPr>
          <w:szCs w:val="23"/>
        </w:rPr>
        <w:t xml:space="preserve">time </w:t>
      </w:r>
      <w:r w:rsidR="008E7F98" w:rsidRPr="00A746CB">
        <w:rPr>
          <w:szCs w:val="23"/>
        </w:rPr>
        <w:t>relationship</w:t>
      </w:r>
      <w:r w:rsidR="008E7F98">
        <w:rPr>
          <w:szCs w:val="23"/>
        </w:rPr>
        <w:t>s</w:t>
      </w:r>
      <w:r w:rsidR="008E7F98" w:rsidRPr="00A746CB">
        <w:rPr>
          <w:szCs w:val="23"/>
        </w:rPr>
        <w:t xml:space="preserve"> </w:t>
      </w:r>
      <w:r w:rsidR="008E7F98">
        <w:rPr>
          <w:szCs w:val="23"/>
        </w:rPr>
        <w:t>with volcanism</w:t>
      </w:r>
      <w:r w:rsidRPr="00A746CB">
        <w:rPr>
          <w:szCs w:val="23"/>
        </w:rPr>
        <w:t xml:space="preserve"> </w:t>
      </w:r>
      <w:r w:rsidR="005105DA">
        <w:rPr>
          <w:szCs w:val="23"/>
        </w:rPr>
        <w:t>are re-</w:t>
      </w:r>
      <w:r w:rsidR="005105DA" w:rsidRPr="00A746CB">
        <w:rPr>
          <w:szCs w:val="23"/>
        </w:rPr>
        <w:t>examin</w:t>
      </w:r>
      <w:r w:rsidR="005105DA">
        <w:rPr>
          <w:szCs w:val="23"/>
        </w:rPr>
        <w:t>ed</w:t>
      </w:r>
      <w:r w:rsidR="005105DA" w:rsidRPr="00A746CB">
        <w:rPr>
          <w:szCs w:val="23"/>
        </w:rPr>
        <w:t xml:space="preserve"> </w:t>
      </w:r>
      <w:r w:rsidR="005105DA">
        <w:rPr>
          <w:szCs w:val="23"/>
        </w:rPr>
        <w:t>to contribute</w:t>
      </w:r>
      <w:r w:rsidRPr="00A746CB">
        <w:rPr>
          <w:bCs/>
          <w:szCs w:val="23"/>
        </w:rPr>
        <w:t xml:space="preserve"> to the </w:t>
      </w:r>
      <w:r w:rsidRPr="00A746CB">
        <w:rPr>
          <w:szCs w:val="23"/>
        </w:rPr>
        <w:t>debate</w:t>
      </w:r>
      <w:r w:rsidRPr="00A746CB">
        <w:rPr>
          <w:bCs/>
          <w:szCs w:val="23"/>
        </w:rPr>
        <w:t xml:space="preserve"> pro or against the concomitance of </w:t>
      </w:r>
      <w:r w:rsidR="008E2053" w:rsidRPr="00A746CB">
        <w:rPr>
          <w:szCs w:val="23"/>
        </w:rPr>
        <w:t xml:space="preserve">subduction and </w:t>
      </w:r>
      <w:r w:rsidRPr="00A746CB">
        <w:rPr>
          <w:szCs w:val="23"/>
        </w:rPr>
        <w:t xml:space="preserve">calc-alkaline </w:t>
      </w:r>
      <w:r w:rsidR="008E7F98">
        <w:rPr>
          <w:szCs w:val="23"/>
        </w:rPr>
        <w:t>volcanism</w:t>
      </w:r>
      <w:r w:rsidRPr="00A746CB">
        <w:rPr>
          <w:szCs w:val="23"/>
        </w:rPr>
        <w:t xml:space="preserve">. </w:t>
      </w:r>
    </w:p>
    <w:p w:rsidR="00FD6C9D" w:rsidRDefault="00774F5E" w:rsidP="001B79A4">
      <w:pPr>
        <w:spacing w:line="240" w:lineRule="auto"/>
        <w:ind w:firstLine="720"/>
        <w:rPr>
          <w:szCs w:val="23"/>
        </w:rPr>
      </w:pPr>
      <w:r>
        <w:rPr>
          <w:szCs w:val="23"/>
        </w:rPr>
        <w:lastRenderedPageBreak/>
        <w:t>Be</w:t>
      </w:r>
      <w:r w:rsidR="00845522">
        <w:rPr>
          <w:szCs w:val="23"/>
        </w:rPr>
        <w:t>cause igneous p</w:t>
      </w:r>
      <w:r w:rsidR="00845522" w:rsidRPr="00A746CB">
        <w:rPr>
          <w:szCs w:val="23"/>
        </w:rPr>
        <w:t>etro</w:t>
      </w:r>
      <w:r w:rsidR="00845522">
        <w:rPr>
          <w:szCs w:val="23"/>
        </w:rPr>
        <w:t>logy</w:t>
      </w:r>
      <w:r w:rsidR="00845522" w:rsidRPr="00A746CB">
        <w:rPr>
          <w:szCs w:val="23"/>
        </w:rPr>
        <w:t xml:space="preserve"> </w:t>
      </w:r>
      <w:r w:rsidR="00845522">
        <w:rPr>
          <w:szCs w:val="23"/>
        </w:rPr>
        <w:t>of magmatism</w:t>
      </w:r>
      <w:r w:rsidR="00845522" w:rsidRPr="001F4EE9">
        <w:rPr>
          <w:szCs w:val="23"/>
        </w:rPr>
        <w:t xml:space="preserve"> </w:t>
      </w:r>
      <w:r w:rsidR="00845522" w:rsidRPr="00A746CB">
        <w:rPr>
          <w:szCs w:val="23"/>
        </w:rPr>
        <w:t xml:space="preserve">is </w:t>
      </w:r>
      <w:r w:rsidR="00FD6C9D">
        <w:rPr>
          <w:szCs w:val="23"/>
        </w:rPr>
        <w:t>out of</w:t>
      </w:r>
      <w:r w:rsidR="00845522">
        <w:rPr>
          <w:szCs w:val="23"/>
        </w:rPr>
        <w:t xml:space="preserve"> </w:t>
      </w:r>
      <w:r w:rsidR="00FD6C9D">
        <w:rPr>
          <w:szCs w:val="23"/>
        </w:rPr>
        <w:t>the scope</w:t>
      </w:r>
      <w:r w:rsidR="00845522">
        <w:rPr>
          <w:szCs w:val="23"/>
        </w:rPr>
        <w:t xml:space="preserve">, the </w:t>
      </w:r>
      <w:r w:rsidR="00845522">
        <w:rPr>
          <w:i/>
          <w:szCs w:val="23"/>
        </w:rPr>
        <w:t xml:space="preserve">datasets S4 and S6 </w:t>
      </w:r>
      <w:r w:rsidR="00FD6C9D">
        <w:rPr>
          <w:szCs w:val="23"/>
        </w:rPr>
        <w:t>a</w:t>
      </w:r>
      <w:r w:rsidR="00845522" w:rsidRPr="001F4EE9">
        <w:rPr>
          <w:szCs w:val="23"/>
        </w:rPr>
        <w:t>re</w:t>
      </w:r>
      <w:r w:rsidR="00845522">
        <w:rPr>
          <w:i/>
          <w:szCs w:val="23"/>
        </w:rPr>
        <w:t xml:space="preserve"> </w:t>
      </w:r>
      <w:r w:rsidR="00845522">
        <w:rPr>
          <w:szCs w:val="23"/>
        </w:rPr>
        <w:t>shown in</w:t>
      </w:r>
      <w:r w:rsidR="00FD6C9D">
        <w:rPr>
          <w:szCs w:val="23"/>
        </w:rPr>
        <w:t xml:space="preserve"> the</w:t>
      </w:r>
      <w:r w:rsidR="00845522">
        <w:rPr>
          <w:szCs w:val="23"/>
        </w:rPr>
        <w:t xml:space="preserve"> </w:t>
      </w:r>
      <w:r w:rsidR="00845522">
        <w:rPr>
          <w:i/>
          <w:szCs w:val="23"/>
        </w:rPr>
        <w:t>S</w:t>
      </w:r>
      <w:r w:rsidR="00845522" w:rsidRPr="00A83053">
        <w:rPr>
          <w:i/>
          <w:szCs w:val="23"/>
        </w:rPr>
        <w:t>upplementary</w:t>
      </w:r>
      <w:r w:rsidR="00845522">
        <w:rPr>
          <w:i/>
          <w:szCs w:val="23"/>
        </w:rPr>
        <w:t xml:space="preserve"> material</w:t>
      </w:r>
      <w:r w:rsidR="00845522">
        <w:rPr>
          <w:szCs w:val="23"/>
        </w:rPr>
        <w:t xml:space="preserve">. </w:t>
      </w:r>
      <w:r w:rsidR="004662C5" w:rsidRPr="00A746CB">
        <w:rPr>
          <w:szCs w:val="23"/>
        </w:rPr>
        <w:t xml:space="preserve">Among the literature geochronology data </w:t>
      </w:r>
      <w:r w:rsidR="00681EA6">
        <w:rPr>
          <w:szCs w:val="23"/>
        </w:rPr>
        <w:t xml:space="preserve">of the </w:t>
      </w:r>
      <w:r w:rsidR="00681EA6" w:rsidRPr="00A746CB">
        <w:rPr>
          <w:szCs w:val="23"/>
        </w:rPr>
        <w:t>West Mediterranean-Tyrrhenian</w:t>
      </w:r>
      <w:r w:rsidR="00681EA6">
        <w:rPr>
          <w:szCs w:val="23"/>
        </w:rPr>
        <w:t xml:space="preserve"> region</w:t>
      </w:r>
      <w:r w:rsidR="00681EA6" w:rsidRPr="00A746CB">
        <w:rPr>
          <w:szCs w:val="23"/>
        </w:rPr>
        <w:t xml:space="preserve"> </w:t>
      </w:r>
      <w:r w:rsidR="004662C5" w:rsidRPr="00A746CB">
        <w:rPr>
          <w:szCs w:val="23"/>
        </w:rPr>
        <w:t xml:space="preserve">there can be some incorrectness because of the diverse quality of analysed material, and diversity of laboratories and analytical methods. However, dubious (few) ages can be tentatively pointed out </w:t>
      </w:r>
      <w:r w:rsidR="00107DFB">
        <w:rPr>
          <w:szCs w:val="23"/>
        </w:rPr>
        <w:t>by means of plausible temporal</w:t>
      </w:r>
      <w:r w:rsidR="00107DFB" w:rsidRPr="00A746CB">
        <w:rPr>
          <w:szCs w:val="23"/>
        </w:rPr>
        <w:t xml:space="preserve"> </w:t>
      </w:r>
      <w:r w:rsidR="004662C5" w:rsidRPr="00A746CB">
        <w:rPr>
          <w:szCs w:val="23"/>
        </w:rPr>
        <w:t xml:space="preserve">correlation </w:t>
      </w:r>
      <w:r w:rsidR="00DB268B">
        <w:rPr>
          <w:szCs w:val="23"/>
        </w:rPr>
        <w:t>among</w:t>
      </w:r>
      <w:r w:rsidR="008E7F98">
        <w:rPr>
          <w:szCs w:val="23"/>
        </w:rPr>
        <w:t xml:space="preserve"> the </w:t>
      </w:r>
      <w:r w:rsidR="008E7F98" w:rsidRPr="00A746CB">
        <w:rPr>
          <w:szCs w:val="23"/>
        </w:rPr>
        <w:t xml:space="preserve">re-examined </w:t>
      </w:r>
      <w:r w:rsidR="004662C5" w:rsidRPr="00A746CB">
        <w:rPr>
          <w:szCs w:val="23"/>
        </w:rPr>
        <w:t xml:space="preserve">large data set. </w:t>
      </w:r>
    </w:p>
    <w:p w:rsidR="001B79A4" w:rsidRPr="00A746CB" w:rsidRDefault="00F232B7" w:rsidP="001B79A4">
      <w:pPr>
        <w:spacing w:line="240" w:lineRule="auto"/>
        <w:ind w:firstLine="720"/>
        <w:rPr>
          <w:szCs w:val="23"/>
        </w:rPr>
      </w:pPr>
      <w:r>
        <w:rPr>
          <w:szCs w:val="23"/>
        </w:rPr>
        <w:t>V</w:t>
      </w:r>
      <w:r w:rsidR="00465D80" w:rsidRPr="00543CFD">
        <w:t>olcanoclastic</w:t>
      </w:r>
      <w:r w:rsidR="007935E7">
        <w:t xml:space="preserve"> rock</w:t>
      </w:r>
      <w:r w:rsidR="00393C97">
        <w:t>s</w:t>
      </w:r>
      <w:r w:rsidR="00465D80" w:rsidRPr="00930E1A">
        <w:t xml:space="preserve"> </w:t>
      </w:r>
      <w:r w:rsidR="00543CFD">
        <w:t xml:space="preserve">showing </w:t>
      </w:r>
      <w:r w:rsidR="00543CFD" w:rsidRPr="00A746CB">
        <w:rPr>
          <w:szCs w:val="23"/>
        </w:rPr>
        <w:t>calc-alkaline</w:t>
      </w:r>
      <w:r w:rsidR="00543CFD">
        <w:rPr>
          <w:szCs w:val="23"/>
        </w:rPr>
        <w:t xml:space="preserve"> nature</w:t>
      </w:r>
      <w:r w:rsidR="00543CFD" w:rsidRPr="00A746CB">
        <w:rPr>
          <w:szCs w:val="23"/>
        </w:rPr>
        <w:t xml:space="preserve"> </w:t>
      </w:r>
      <w:r>
        <w:rPr>
          <w:szCs w:val="23"/>
        </w:rPr>
        <w:t>are</w:t>
      </w:r>
      <w:r w:rsidR="00393C97">
        <w:t xml:space="preserve"> </w:t>
      </w:r>
      <w:r w:rsidR="00465D80" w:rsidRPr="00465D80">
        <w:t>widespread</w:t>
      </w:r>
      <w:r w:rsidR="00465D80" w:rsidRPr="00930E1A">
        <w:t xml:space="preserve"> among the allochtho</w:t>
      </w:r>
      <w:r w:rsidR="00616808" w:rsidRPr="00930E1A">
        <w:t>u</w:t>
      </w:r>
      <w:r w:rsidR="00465D80" w:rsidRPr="00930E1A">
        <w:t>n</w:t>
      </w:r>
      <w:r w:rsidR="00616808" w:rsidRPr="00930E1A">
        <w:t xml:space="preserve">ous sediments </w:t>
      </w:r>
      <w:r w:rsidR="009413E5">
        <w:t>of the Apennines</w:t>
      </w:r>
      <w:r w:rsidR="00465D80" w:rsidRPr="00930E1A">
        <w:t xml:space="preserve"> </w:t>
      </w:r>
      <w:r w:rsidR="007A0DC1">
        <w:t xml:space="preserve">(Fig. </w:t>
      </w:r>
      <w:r w:rsidR="003171DE">
        <w:t>2</w:t>
      </w:r>
      <w:r w:rsidR="007A0DC1">
        <w:t xml:space="preserve">; </w:t>
      </w:r>
      <w:r w:rsidR="007A0DC1" w:rsidRPr="00A83053">
        <w:rPr>
          <w:i/>
          <w:szCs w:val="23"/>
        </w:rPr>
        <w:t>Supplementary</w:t>
      </w:r>
      <w:r w:rsidR="0075492A">
        <w:rPr>
          <w:i/>
          <w:szCs w:val="23"/>
        </w:rPr>
        <w:t xml:space="preserve"> </w:t>
      </w:r>
      <w:r w:rsidR="00FD7591">
        <w:rPr>
          <w:i/>
          <w:szCs w:val="23"/>
        </w:rPr>
        <w:t>Info</w:t>
      </w:r>
      <w:r>
        <w:rPr>
          <w:i/>
          <w:szCs w:val="23"/>
        </w:rPr>
        <w:t xml:space="preserve"> </w:t>
      </w:r>
      <w:r w:rsidR="0075492A">
        <w:rPr>
          <w:i/>
          <w:szCs w:val="23"/>
        </w:rPr>
        <w:t>S3</w:t>
      </w:r>
      <w:r w:rsidR="007A0DC1" w:rsidRPr="00A83053">
        <w:rPr>
          <w:i/>
          <w:szCs w:val="23"/>
        </w:rPr>
        <w:t xml:space="preserve"> </w:t>
      </w:r>
      <w:r w:rsidR="0075492A">
        <w:rPr>
          <w:i/>
          <w:szCs w:val="23"/>
        </w:rPr>
        <w:t xml:space="preserve">and </w:t>
      </w:r>
      <w:r w:rsidR="00FD7591">
        <w:rPr>
          <w:i/>
          <w:szCs w:val="23"/>
        </w:rPr>
        <w:t xml:space="preserve">Datasets </w:t>
      </w:r>
      <w:r w:rsidR="007A0DC1" w:rsidRPr="00543CFD">
        <w:rPr>
          <w:i/>
          <w:szCs w:val="23"/>
        </w:rPr>
        <w:t>S</w:t>
      </w:r>
      <w:r w:rsidR="0075492A">
        <w:rPr>
          <w:i/>
          <w:szCs w:val="23"/>
        </w:rPr>
        <w:t>5, S6</w:t>
      </w:r>
      <w:r w:rsidR="00543CFD">
        <w:t>)</w:t>
      </w:r>
      <w:r>
        <w:t>.</w:t>
      </w:r>
      <w:r w:rsidR="00543CFD">
        <w:t xml:space="preserve"> </w:t>
      </w:r>
      <w:r>
        <w:rPr>
          <w:szCs w:val="23"/>
        </w:rPr>
        <w:t xml:space="preserve">If they </w:t>
      </w:r>
      <w:r w:rsidR="00393C97">
        <w:t>have been</w:t>
      </w:r>
      <w:r w:rsidR="001271A0">
        <w:t xml:space="preserve"> </w:t>
      </w:r>
      <w:r>
        <w:t>produced</w:t>
      </w:r>
      <w:r w:rsidR="00393C97">
        <w:t xml:space="preserve"> from </w:t>
      </w:r>
      <w:r w:rsidR="00393C97">
        <w:rPr>
          <w:szCs w:val="23"/>
        </w:rPr>
        <w:t xml:space="preserve">lost emission centres which </w:t>
      </w:r>
      <w:r>
        <w:rPr>
          <w:szCs w:val="23"/>
        </w:rPr>
        <w:t>were</w:t>
      </w:r>
      <w:r w:rsidR="00393C97">
        <w:rPr>
          <w:szCs w:val="23"/>
        </w:rPr>
        <w:t xml:space="preserve"> </w:t>
      </w:r>
      <w:r w:rsidR="00DB268B">
        <w:rPr>
          <w:szCs w:val="23"/>
        </w:rPr>
        <w:t xml:space="preserve">originally </w:t>
      </w:r>
      <w:r w:rsidR="001271A0">
        <w:t xml:space="preserve">sited in the Tyrrhenian </w:t>
      </w:r>
      <w:r w:rsidR="00393C97">
        <w:t>OAA,</w:t>
      </w:r>
      <w:r w:rsidR="001271A0">
        <w:t xml:space="preserve"> </w:t>
      </w:r>
      <w:r w:rsidR="00465D80" w:rsidRPr="00930E1A">
        <w:t>the</w:t>
      </w:r>
      <w:r w:rsidR="00393C97">
        <w:t>ir</w:t>
      </w:r>
      <w:r w:rsidR="00465D80" w:rsidRPr="00930E1A">
        <w:t xml:space="preserve"> space-time distribution can </w:t>
      </w:r>
      <w:r>
        <w:t xml:space="preserve">also </w:t>
      </w:r>
      <w:r w:rsidR="00465D80" w:rsidRPr="00930E1A">
        <w:t xml:space="preserve">be meaningful for the reconstruction of </w:t>
      </w:r>
      <w:r w:rsidR="009413E5">
        <w:t xml:space="preserve">the link </w:t>
      </w:r>
      <w:r w:rsidR="00393C97">
        <w:t>between</w:t>
      </w:r>
      <w:r w:rsidR="009413E5">
        <w:t xml:space="preserve"> </w:t>
      </w:r>
      <w:r w:rsidR="009413E5" w:rsidRPr="00A746CB">
        <w:rPr>
          <w:szCs w:val="23"/>
        </w:rPr>
        <w:t xml:space="preserve">calc-alkaline </w:t>
      </w:r>
      <w:r w:rsidR="009413E5">
        <w:rPr>
          <w:szCs w:val="23"/>
        </w:rPr>
        <w:t xml:space="preserve">volcanism </w:t>
      </w:r>
      <w:r w:rsidR="00393C97">
        <w:rPr>
          <w:szCs w:val="23"/>
        </w:rPr>
        <w:t>and</w:t>
      </w:r>
      <w:r w:rsidR="009413E5">
        <w:rPr>
          <w:szCs w:val="23"/>
        </w:rPr>
        <w:t xml:space="preserve"> </w:t>
      </w:r>
      <w:r w:rsidR="00465D80" w:rsidRPr="00930E1A">
        <w:t xml:space="preserve">tectonic setting. For the first time, allochthonous and “in-situ” volcanics have been </w:t>
      </w:r>
      <w:r w:rsidR="007E5EC2" w:rsidRPr="00930E1A">
        <w:t xml:space="preserve">jointly </w:t>
      </w:r>
      <w:r w:rsidR="00465D80" w:rsidRPr="00930E1A">
        <w:t>considered.</w:t>
      </w:r>
      <w:r w:rsidR="001B79A4">
        <w:t xml:space="preserve"> </w:t>
      </w:r>
    </w:p>
    <w:p w:rsidR="00A83053" w:rsidRDefault="00264D83" w:rsidP="004A421D">
      <w:pPr>
        <w:pStyle w:val="Testonormale"/>
        <w:spacing w:line="240" w:lineRule="auto"/>
        <w:ind w:firstLine="709"/>
        <w:jc w:val="both"/>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extent cx="5731510" cy="7374255"/>
            <wp:effectExtent l="19050" t="0" r="2540" b="0"/>
            <wp:docPr id="14" name="Immagine 13" descr="F3 ALPI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 ALPI LAST.jpg"/>
                    <pic:cNvPicPr/>
                  </pic:nvPicPr>
                  <pic:blipFill>
                    <a:blip r:embed="rId9" cstate="print"/>
                    <a:stretch>
                      <a:fillRect/>
                    </a:stretch>
                  </pic:blipFill>
                  <pic:spPr>
                    <a:xfrm>
                      <a:off x="0" y="0"/>
                      <a:ext cx="5731510" cy="7374255"/>
                    </a:xfrm>
                    <a:prstGeom prst="rect">
                      <a:avLst/>
                    </a:prstGeom>
                  </pic:spPr>
                </pic:pic>
              </a:graphicData>
            </a:graphic>
          </wp:inline>
        </w:drawing>
      </w:r>
    </w:p>
    <w:p w:rsidR="001B79A4" w:rsidRPr="001B79A4" w:rsidRDefault="001B79A4" w:rsidP="001B79A4">
      <w:pPr>
        <w:spacing w:line="240" w:lineRule="auto"/>
        <w:rPr>
          <w:sz w:val="20"/>
          <w:szCs w:val="23"/>
        </w:rPr>
      </w:pPr>
      <w:r w:rsidRPr="001B79A4">
        <w:rPr>
          <w:b/>
          <w:sz w:val="20"/>
          <w:szCs w:val="23"/>
        </w:rPr>
        <w:t xml:space="preserve">Figure </w:t>
      </w:r>
      <w:r w:rsidR="003171DE">
        <w:rPr>
          <w:b/>
          <w:sz w:val="20"/>
          <w:szCs w:val="23"/>
        </w:rPr>
        <w:t>2</w:t>
      </w:r>
      <w:r w:rsidRPr="001B79A4">
        <w:rPr>
          <w:sz w:val="20"/>
          <w:szCs w:val="23"/>
        </w:rPr>
        <w:t>. Distribution of “in situ” magmatics of the west Mediterranean, and allochthonous v</w:t>
      </w:r>
      <w:r w:rsidR="004515D1">
        <w:rPr>
          <w:sz w:val="20"/>
          <w:szCs w:val="23"/>
        </w:rPr>
        <w:t>olcanoclastics of the Apennines</w:t>
      </w:r>
      <w:r w:rsidRPr="001B79A4">
        <w:rPr>
          <w:sz w:val="20"/>
          <w:szCs w:val="23"/>
        </w:rPr>
        <w:t>. (</w:t>
      </w:r>
      <w:r w:rsidRPr="001B79A4">
        <w:rPr>
          <w:b/>
          <w:sz w:val="20"/>
          <w:szCs w:val="23"/>
        </w:rPr>
        <w:t xml:space="preserve">A); </w:t>
      </w:r>
      <w:r w:rsidRPr="001B79A4">
        <w:rPr>
          <w:sz w:val="20"/>
          <w:szCs w:val="23"/>
          <w:u w:val="single"/>
        </w:rPr>
        <w:t>Oligocene-Aquitanian</w:t>
      </w:r>
      <w:r w:rsidRPr="001B79A4">
        <w:rPr>
          <w:sz w:val="20"/>
          <w:szCs w:val="23"/>
        </w:rPr>
        <w:t xml:space="preserve"> (between ca. 33/32 and ca. 20 Ma): intrusives (red circle), volcanics (red triangle) and allochthonous volcanoclastics (elongated red triangle without rim shows presumed position; green </w:t>
      </w:r>
      <w:r w:rsidRPr="001B79A4">
        <w:rPr>
          <w:sz w:val="20"/>
          <w:szCs w:val="23"/>
        </w:rPr>
        <w:lastRenderedPageBreak/>
        <w:t xml:space="preserve">numbers in </w:t>
      </w:r>
      <w:r w:rsidRPr="001B79A4">
        <w:rPr>
          <w:i/>
          <w:sz w:val="20"/>
          <w:szCs w:val="23"/>
        </w:rPr>
        <w:t>italics;</w:t>
      </w:r>
      <w:r w:rsidR="004515D1">
        <w:rPr>
          <w:sz w:val="20"/>
          <w:szCs w:val="23"/>
        </w:rPr>
        <w:t xml:space="preserve"> see </w:t>
      </w:r>
      <w:r w:rsidR="001F4EE9">
        <w:rPr>
          <w:i/>
          <w:sz w:val="20"/>
          <w:szCs w:val="23"/>
        </w:rPr>
        <w:t>S</w:t>
      </w:r>
      <w:r w:rsidR="004515D1" w:rsidRPr="004515D1">
        <w:rPr>
          <w:i/>
          <w:sz w:val="20"/>
          <w:szCs w:val="23"/>
        </w:rPr>
        <w:t>uppl</w:t>
      </w:r>
      <w:r w:rsidR="001F4EE9">
        <w:rPr>
          <w:i/>
          <w:sz w:val="20"/>
          <w:szCs w:val="23"/>
        </w:rPr>
        <w:t>.</w:t>
      </w:r>
      <w:r w:rsidR="004515D1" w:rsidRPr="004515D1">
        <w:rPr>
          <w:i/>
          <w:sz w:val="20"/>
          <w:szCs w:val="23"/>
        </w:rPr>
        <w:t xml:space="preserve"> dataset S4</w:t>
      </w:r>
      <w:r w:rsidRPr="001B79A4">
        <w:rPr>
          <w:sz w:val="20"/>
          <w:szCs w:val="23"/>
        </w:rPr>
        <w:t>). Site 13: buried andesite volcano of the early Oligocene. White arrows: 1 = pre-Oligocene (&gt; 33 Ma), SE-directed subduction beneath the orogen of Alpine Age (OAA); 2 = Post-Burdigalian (&lt; 16 Ma), WNW-directed subduction of A</w:t>
      </w:r>
      <w:r w:rsidR="00C45A3D">
        <w:rPr>
          <w:sz w:val="20"/>
          <w:szCs w:val="23"/>
        </w:rPr>
        <w:t xml:space="preserve">frican lithosphere; </w:t>
      </w:r>
      <w:r w:rsidR="00A86148">
        <w:rPr>
          <w:sz w:val="20"/>
          <w:szCs w:val="23"/>
        </w:rPr>
        <w:t xml:space="preserve">this reconstruction considers that </w:t>
      </w:r>
      <w:r w:rsidR="00C45A3D">
        <w:rPr>
          <w:sz w:val="20"/>
          <w:szCs w:val="23"/>
        </w:rPr>
        <w:t>subduction wa</w:t>
      </w:r>
      <w:r w:rsidRPr="001B79A4">
        <w:rPr>
          <w:sz w:val="20"/>
          <w:szCs w:val="23"/>
        </w:rPr>
        <w:t xml:space="preserve">s absent in </w:t>
      </w:r>
      <w:r w:rsidR="00A86148">
        <w:rPr>
          <w:sz w:val="20"/>
          <w:szCs w:val="23"/>
        </w:rPr>
        <w:t xml:space="preserve">the </w:t>
      </w:r>
      <w:r w:rsidRPr="001B79A4">
        <w:rPr>
          <w:sz w:val="20"/>
          <w:szCs w:val="23"/>
        </w:rPr>
        <w:t xml:space="preserve">Oligocene </w:t>
      </w:r>
      <w:r w:rsidR="00A86148">
        <w:rPr>
          <w:sz w:val="20"/>
          <w:szCs w:val="23"/>
        </w:rPr>
        <w:t>-</w:t>
      </w:r>
      <w:r w:rsidRPr="001B79A4">
        <w:rPr>
          <w:sz w:val="20"/>
          <w:szCs w:val="23"/>
        </w:rPr>
        <w:t xml:space="preserve"> Burdigalian time. (</w:t>
      </w:r>
      <w:r w:rsidRPr="001B79A4">
        <w:rPr>
          <w:b/>
          <w:sz w:val="20"/>
          <w:szCs w:val="23"/>
        </w:rPr>
        <w:t>B</w:t>
      </w:r>
      <w:r w:rsidRPr="001B79A4">
        <w:rPr>
          <w:sz w:val="20"/>
          <w:szCs w:val="23"/>
        </w:rPr>
        <w:t xml:space="preserve">); </w:t>
      </w:r>
      <w:r w:rsidRPr="001B79A4">
        <w:rPr>
          <w:sz w:val="20"/>
          <w:szCs w:val="23"/>
          <w:u w:val="single"/>
        </w:rPr>
        <w:t>Burdigalian</w:t>
      </w:r>
      <w:r w:rsidRPr="001B79A4">
        <w:rPr>
          <w:sz w:val="20"/>
          <w:szCs w:val="23"/>
        </w:rPr>
        <w:t xml:space="preserve"> (ca. 20 - 16 Ma): intrusives (</w:t>
      </w:r>
      <w:r w:rsidR="004515D1">
        <w:rPr>
          <w:sz w:val="20"/>
          <w:szCs w:val="23"/>
        </w:rPr>
        <w:t>black</w:t>
      </w:r>
      <w:r w:rsidRPr="001B79A4">
        <w:rPr>
          <w:sz w:val="20"/>
          <w:szCs w:val="23"/>
        </w:rPr>
        <w:t xml:space="preserve"> circle), volcanics (</w:t>
      </w:r>
      <w:r w:rsidR="004515D1">
        <w:rPr>
          <w:sz w:val="20"/>
          <w:szCs w:val="23"/>
        </w:rPr>
        <w:t>black</w:t>
      </w:r>
      <w:r w:rsidRPr="001B79A4">
        <w:rPr>
          <w:sz w:val="20"/>
          <w:szCs w:val="23"/>
        </w:rPr>
        <w:t xml:space="preserve"> triangle) and allochthonous volcanoclastics (elongated gray triangle); </w:t>
      </w:r>
      <w:r w:rsidRPr="001B79A4">
        <w:rPr>
          <w:sz w:val="20"/>
          <w:szCs w:val="23"/>
          <w:u w:val="single"/>
        </w:rPr>
        <w:t>Langhian-Tortonian</w:t>
      </w:r>
      <w:r w:rsidRPr="001B79A4">
        <w:rPr>
          <w:sz w:val="20"/>
          <w:szCs w:val="23"/>
        </w:rPr>
        <w:t xml:space="preserve"> (between ca. 16 and 7.5 Ma): intrusives (yellow circle), volcanics (</w:t>
      </w:r>
      <w:r w:rsidR="004515D1">
        <w:rPr>
          <w:sz w:val="20"/>
          <w:szCs w:val="23"/>
        </w:rPr>
        <w:t xml:space="preserve">black </w:t>
      </w:r>
      <w:r w:rsidRPr="001B79A4">
        <w:rPr>
          <w:sz w:val="20"/>
          <w:szCs w:val="23"/>
        </w:rPr>
        <w:t xml:space="preserve">rimmed yellow triangle) and allochthonous volcanoclastics (elongated yellow triangle). In the Burdigalian, calc-alkaline magmatism of andesitic and silicic type was accompanied by eruption of tholeiitic lavas and rifting reached the stage of oceanic spreading in the Sardinia-Provence basin to the east of </w:t>
      </w:r>
      <w:r w:rsidR="001F4EE9">
        <w:rPr>
          <w:sz w:val="20"/>
          <w:szCs w:val="23"/>
        </w:rPr>
        <w:t xml:space="preserve">the </w:t>
      </w:r>
      <w:r w:rsidR="001F4EE9" w:rsidRPr="001B79A4">
        <w:rPr>
          <w:sz w:val="20"/>
          <w:szCs w:val="23"/>
        </w:rPr>
        <w:t xml:space="preserve">Catalan-Tunisian fracture zone </w:t>
      </w:r>
      <w:r w:rsidR="001F4EE9">
        <w:rPr>
          <w:sz w:val="20"/>
          <w:szCs w:val="23"/>
        </w:rPr>
        <w:t>(</w:t>
      </w:r>
      <w:r w:rsidRPr="001B79A4">
        <w:rPr>
          <w:sz w:val="20"/>
          <w:szCs w:val="23"/>
        </w:rPr>
        <w:t>CTFZ</w:t>
      </w:r>
      <w:r w:rsidR="001F4EE9">
        <w:rPr>
          <w:sz w:val="20"/>
          <w:szCs w:val="23"/>
        </w:rPr>
        <w:t xml:space="preserve">; </w:t>
      </w:r>
      <w:r w:rsidRPr="001B79A4">
        <w:rPr>
          <w:sz w:val="20"/>
          <w:szCs w:val="23"/>
        </w:rPr>
        <w:t xml:space="preserve">European plate), and north Algerian basin to the west. The </w:t>
      </w:r>
      <w:r w:rsidR="001F4EE9">
        <w:rPr>
          <w:sz w:val="20"/>
          <w:szCs w:val="23"/>
        </w:rPr>
        <w:t>scheme</w:t>
      </w:r>
      <w:r w:rsidRPr="001B79A4">
        <w:rPr>
          <w:sz w:val="20"/>
          <w:szCs w:val="23"/>
        </w:rPr>
        <w:t xml:space="preserve"> shows the inferred position of the WNW subduction hinge zone at ca. 6.3 (Vavilov opening) and 1.67 Ma (Marsili opening), the Apennine outcrops of the allochthonous volcanoclastic rocks, and the hypothetical sites of “lost” volcanic edifices and adjacent sedimentary lows which, according to the geodynamic interpretation </w:t>
      </w:r>
      <w:r w:rsidR="001F4EE9">
        <w:rPr>
          <w:sz w:val="20"/>
          <w:szCs w:val="23"/>
        </w:rPr>
        <w:t xml:space="preserve">(see </w:t>
      </w:r>
      <w:r w:rsidRPr="001B79A4">
        <w:rPr>
          <w:i/>
          <w:sz w:val="20"/>
          <w:szCs w:val="23"/>
        </w:rPr>
        <w:t>Guerrera et alii</w:t>
      </w:r>
      <w:r w:rsidRPr="001B79A4">
        <w:rPr>
          <w:sz w:val="20"/>
          <w:szCs w:val="23"/>
        </w:rPr>
        <w:t>, 1998</w:t>
      </w:r>
      <w:r w:rsidR="001F4EE9">
        <w:rPr>
          <w:sz w:val="20"/>
          <w:szCs w:val="23"/>
        </w:rPr>
        <w:t>,</w:t>
      </w:r>
      <w:r w:rsidRPr="001B79A4">
        <w:rPr>
          <w:sz w:val="20"/>
          <w:szCs w:val="23"/>
        </w:rPr>
        <w:t xml:space="preserve"> and </w:t>
      </w:r>
      <w:r w:rsidRPr="001B79A4">
        <w:rPr>
          <w:i/>
          <w:sz w:val="20"/>
          <w:szCs w:val="23"/>
        </w:rPr>
        <w:t>Cibin et alii</w:t>
      </w:r>
      <w:r w:rsidR="001F4EE9">
        <w:rPr>
          <w:i/>
          <w:sz w:val="20"/>
          <w:szCs w:val="23"/>
        </w:rPr>
        <w:t>,</w:t>
      </w:r>
      <w:r w:rsidR="001F4EE9">
        <w:rPr>
          <w:sz w:val="20"/>
          <w:szCs w:val="23"/>
        </w:rPr>
        <w:t xml:space="preserve"> </w:t>
      </w:r>
      <w:r w:rsidRPr="001B79A4">
        <w:rPr>
          <w:sz w:val="20"/>
          <w:szCs w:val="23"/>
        </w:rPr>
        <w:t>2001</w:t>
      </w:r>
      <w:r w:rsidR="001F4EE9">
        <w:rPr>
          <w:sz w:val="20"/>
          <w:szCs w:val="23"/>
        </w:rPr>
        <w:t xml:space="preserve"> in the </w:t>
      </w:r>
      <w:r w:rsidR="001F4EE9" w:rsidRPr="001F4EE9">
        <w:rPr>
          <w:i/>
          <w:sz w:val="20"/>
          <w:szCs w:val="23"/>
        </w:rPr>
        <w:t>Suppl. info</w:t>
      </w:r>
      <w:r w:rsidRPr="001B79A4">
        <w:rPr>
          <w:sz w:val="20"/>
          <w:szCs w:val="23"/>
        </w:rPr>
        <w:t xml:space="preserve">), were originally sited in the Tyrrhenian OAA (offshore Sardinia-Corsica). Dotted line: the lithosphere-asthenosphere section of Fig. </w:t>
      </w:r>
      <w:r w:rsidR="003171DE">
        <w:rPr>
          <w:sz w:val="20"/>
          <w:szCs w:val="23"/>
        </w:rPr>
        <w:t>7</w:t>
      </w:r>
      <w:r w:rsidR="004515D1">
        <w:rPr>
          <w:sz w:val="20"/>
          <w:szCs w:val="23"/>
        </w:rPr>
        <w:t>/A.</w:t>
      </w:r>
    </w:p>
    <w:p w:rsidR="006462E4" w:rsidRDefault="00415791" w:rsidP="004109B1">
      <w:pPr>
        <w:spacing w:line="240" w:lineRule="auto"/>
        <w:rPr>
          <w:szCs w:val="23"/>
        </w:rPr>
      </w:pPr>
      <w:r>
        <w:rPr>
          <w:noProof/>
          <w:szCs w:val="23"/>
          <w:lang w:val="it-IT" w:eastAsia="it-IT"/>
        </w:rPr>
        <w:drawing>
          <wp:inline distT="0" distB="0" distL="0" distR="0">
            <wp:extent cx="5724525" cy="5314950"/>
            <wp:effectExtent l="19050" t="0" r="9525" b="0"/>
            <wp:docPr id="2" name="Immagine 2"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4"/>
                    <pic:cNvPicPr>
                      <a:picLocks noChangeAspect="1" noChangeArrowheads="1"/>
                    </pic:cNvPicPr>
                  </pic:nvPicPr>
                  <pic:blipFill>
                    <a:blip r:embed="rId10" cstate="print"/>
                    <a:srcRect/>
                    <a:stretch>
                      <a:fillRect/>
                    </a:stretch>
                  </pic:blipFill>
                  <pic:spPr bwMode="auto">
                    <a:xfrm>
                      <a:off x="0" y="0"/>
                      <a:ext cx="5724525" cy="5314950"/>
                    </a:xfrm>
                    <a:prstGeom prst="rect">
                      <a:avLst/>
                    </a:prstGeom>
                    <a:noFill/>
                    <a:ln w="9525">
                      <a:noFill/>
                      <a:miter lim="800000"/>
                      <a:headEnd/>
                      <a:tailEnd/>
                    </a:ln>
                  </pic:spPr>
                </pic:pic>
              </a:graphicData>
            </a:graphic>
          </wp:inline>
        </w:drawing>
      </w:r>
    </w:p>
    <w:p w:rsidR="00C16657" w:rsidRDefault="00C16657" w:rsidP="006462E4">
      <w:pPr>
        <w:spacing w:line="240" w:lineRule="auto"/>
        <w:rPr>
          <w:b/>
          <w:szCs w:val="23"/>
        </w:rPr>
      </w:pPr>
    </w:p>
    <w:p w:rsidR="006462E4" w:rsidRPr="00AE1B03" w:rsidRDefault="006462E4" w:rsidP="00AE1B03">
      <w:pPr>
        <w:pStyle w:val="Testonormale"/>
        <w:spacing w:line="240" w:lineRule="auto"/>
        <w:jc w:val="both"/>
        <w:rPr>
          <w:szCs w:val="23"/>
          <w:lang w:val="en-GB"/>
        </w:rPr>
      </w:pPr>
      <w:r w:rsidRPr="00CA4E27">
        <w:rPr>
          <w:rFonts w:ascii="Times New Roman" w:hAnsi="Times New Roman" w:cs="Times New Roman"/>
          <w:b/>
          <w:lang w:val="en-GB"/>
        </w:rPr>
        <w:t xml:space="preserve">Figure </w:t>
      </w:r>
      <w:r w:rsidR="003171DE" w:rsidRPr="00CA4E27">
        <w:rPr>
          <w:rFonts w:ascii="Times New Roman" w:hAnsi="Times New Roman" w:cs="Times New Roman"/>
          <w:b/>
          <w:lang w:val="en-GB"/>
        </w:rPr>
        <w:t>3</w:t>
      </w:r>
      <w:r w:rsidRPr="00CA4E27">
        <w:rPr>
          <w:rFonts w:ascii="Times New Roman" w:hAnsi="Times New Roman" w:cs="Times New Roman"/>
          <w:lang w:val="en-GB"/>
        </w:rPr>
        <w:t xml:space="preserve">. </w:t>
      </w:r>
      <w:r w:rsidRPr="00CA4E27">
        <w:rPr>
          <w:rFonts w:ascii="Times New Roman" w:hAnsi="Times New Roman" w:cs="Times New Roman"/>
          <w:iCs/>
          <w:lang w:val="en-GB"/>
        </w:rPr>
        <w:t>Shaded relief image of the Tyrrhenian seafloor; depths are colour-coded, illumination from the NW after multibeam bathymetric survey</w:t>
      </w:r>
      <w:r w:rsidR="00CA4E27" w:rsidRPr="00CA4E27">
        <w:rPr>
          <w:rFonts w:ascii="Times New Roman" w:hAnsi="Times New Roman" w:cs="Times New Roman"/>
          <w:b/>
          <w:iCs/>
          <w:color w:val="0070C0"/>
          <w:vertAlign w:val="superscript"/>
          <w:lang w:val="en-GB"/>
        </w:rPr>
        <w:t>16</w:t>
      </w:r>
      <w:r w:rsidRPr="00CA4E27">
        <w:rPr>
          <w:rFonts w:ascii="Times New Roman" w:hAnsi="Times New Roman" w:cs="Times New Roman"/>
          <w:iCs/>
          <w:lang w:val="en-GB"/>
        </w:rPr>
        <w:t xml:space="preserve"> below 200 m waterdepth.The Tyrrhenian bathyal plains of Vavilov (</w:t>
      </w:r>
      <w:r w:rsidRPr="00CA4E27">
        <w:rPr>
          <w:rFonts w:ascii="Times New Roman" w:hAnsi="Times New Roman" w:cs="Times New Roman"/>
          <w:b/>
          <w:iCs/>
          <w:lang w:val="en-GB"/>
        </w:rPr>
        <w:t>V)</w:t>
      </w:r>
      <w:r w:rsidRPr="00CA4E27">
        <w:rPr>
          <w:rFonts w:ascii="Times New Roman" w:hAnsi="Times New Roman" w:cs="Times New Roman"/>
          <w:iCs/>
          <w:lang w:val="en-GB"/>
        </w:rPr>
        <w:t xml:space="preserve"> and Marsili (</w:t>
      </w:r>
      <w:r w:rsidRPr="00CA4E27">
        <w:rPr>
          <w:rFonts w:ascii="Times New Roman" w:hAnsi="Times New Roman" w:cs="Times New Roman"/>
          <w:b/>
          <w:iCs/>
          <w:lang w:val="en-GB"/>
        </w:rPr>
        <w:t>M</w:t>
      </w:r>
      <w:r w:rsidRPr="00CA4E27">
        <w:rPr>
          <w:rFonts w:ascii="Times New Roman" w:hAnsi="Times New Roman" w:cs="Times New Roman"/>
          <w:iCs/>
          <w:lang w:val="en-GB"/>
        </w:rPr>
        <w:t xml:space="preserve">) reach depth of 3600 m (proper blue). </w:t>
      </w:r>
    </w:p>
    <w:p w:rsidR="006A2FBA" w:rsidRPr="0041665B" w:rsidRDefault="006A2FBA" w:rsidP="004109B1">
      <w:pPr>
        <w:spacing w:line="240" w:lineRule="auto"/>
        <w:rPr>
          <w:b/>
          <w:sz w:val="28"/>
          <w:szCs w:val="28"/>
        </w:rPr>
      </w:pPr>
      <w:r w:rsidRPr="0041665B">
        <w:rPr>
          <w:b/>
          <w:sz w:val="28"/>
          <w:szCs w:val="28"/>
        </w:rPr>
        <w:t>Results</w:t>
      </w:r>
    </w:p>
    <w:p w:rsidR="006A2FBA" w:rsidRDefault="006A2FBA" w:rsidP="004109B1">
      <w:pPr>
        <w:spacing w:line="240" w:lineRule="auto"/>
        <w:rPr>
          <w:b/>
          <w:szCs w:val="23"/>
        </w:rPr>
      </w:pPr>
    </w:p>
    <w:p w:rsidR="009354AF" w:rsidRPr="0041665B" w:rsidRDefault="006A2FBA" w:rsidP="004109B1">
      <w:pPr>
        <w:spacing w:line="240" w:lineRule="auto"/>
        <w:rPr>
          <w:b/>
          <w:szCs w:val="23"/>
        </w:rPr>
      </w:pPr>
      <w:r w:rsidRPr="0041665B">
        <w:rPr>
          <w:b/>
          <w:szCs w:val="23"/>
        </w:rPr>
        <w:t>E</w:t>
      </w:r>
      <w:r w:rsidR="009354AF" w:rsidRPr="0041665B">
        <w:rPr>
          <w:b/>
          <w:szCs w:val="23"/>
        </w:rPr>
        <w:t xml:space="preserve">pisodes of oceanic </w:t>
      </w:r>
      <w:r w:rsidR="003E3473" w:rsidRPr="0041665B">
        <w:rPr>
          <w:b/>
          <w:szCs w:val="23"/>
        </w:rPr>
        <w:t>opening</w:t>
      </w:r>
    </w:p>
    <w:p w:rsidR="00351C20" w:rsidRPr="00351C20" w:rsidRDefault="00351C20" w:rsidP="004109B1">
      <w:pPr>
        <w:spacing w:line="240" w:lineRule="auto"/>
        <w:rPr>
          <w:szCs w:val="23"/>
        </w:rPr>
      </w:pPr>
    </w:p>
    <w:p w:rsidR="00A451C4" w:rsidRPr="00A746CB" w:rsidRDefault="00A451C4" w:rsidP="006A2FBA">
      <w:pPr>
        <w:pStyle w:val="Paragrafoelenco"/>
        <w:spacing w:line="240" w:lineRule="auto"/>
        <w:ind w:left="0"/>
        <w:rPr>
          <w:b/>
          <w:i/>
          <w:shadow/>
          <w:szCs w:val="23"/>
          <w:u w:val="single"/>
        </w:rPr>
      </w:pPr>
      <w:r w:rsidRPr="00A746CB">
        <w:rPr>
          <w:i/>
          <w:shadow/>
          <w:szCs w:val="23"/>
          <w:u w:val="single"/>
        </w:rPr>
        <w:t>Burdigalian (ca. 20 – 16 Ma)</w:t>
      </w:r>
    </w:p>
    <w:p w:rsidR="00661237" w:rsidRDefault="00F93209" w:rsidP="00C76911">
      <w:pPr>
        <w:autoSpaceDE/>
        <w:spacing w:line="240" w:lineRule="auto"/>
        <w:ind w:firstLine="709"/>
        <w:rPr>
          <w:szCs w:val="23"/>
        </w:rPr>
      </w:pPr>
      <w:r w:rsidRPr="00C16657">
        <w:rPr>
          <w:szCs w:val="23"/>
        </w:rPr>
        <w:t>Post-</w:t>
      </w:r>
      <w:r w:rsidR="00C16657" w:rsidRPr="00C16657">
        <w:rPr>
          <w:szCs w:val="23"/>
        </w:rPr>
        <w:t>collision</w:t>
      </w:r>
      <w:r w:rsidR="00C16657">
        <w:rPr>
          <w:szCs w:val="23"/>
        </w:rPr>
        <w:t>,</w:t>
      </w:r>
      <w:r>
        <w:rPr>
          <w:szCs w:val="23"/>
        </w:rPr>
        <w:t xml:space="preserve"> continental extension and </w:t>
      </w:r>
      <w:r w:rsidRPr="00A746CB">
        <w:rPr>
          <w:szCs w:val="23"/>
        </w:rPr>
        <w:t xml:space="preserve">calc-alkaline </w:t>
      </w:r>
      <w:r>
        <w:rPr>
          <w:szCs w:val="23"/>
        </w:rPr>
        <w:t xml:space="preserve">volcanism initiated in the </w:t>
      </w:r>
      <w:r w:rsidRPr="00A746CB">
        <w:rPr>
          <w:szCs w:val="23"/>
        </w:rPr>
        <w:t>Oligo</w:t>
      </w:r>
      <w:r w:rsidR="006A7A10">
        <w:rPr>
          <w:szCs w:val="23"/>
        </w:rPr>
        <w:t>cene reached</w:t>
      </w:r>
      <w:r>
        <w:rPr>
          <w:szCs w:val="23"/>
        </w:rPr>
        <w:t xml:space="preserve"> the stage</w:t>
      </w:r>
      <w:r w:rsidRPr="00A746CB">
        <w:rPr>
          <w:szCs w:val="23"/>
        </w:rPr>
        <w:t xml:space="preserve"> </w:t>
      </w:r>
      <w:r>
        <w:rPr>
          <w:szCs w:val="23"/>
        </w:rPr>
        <w:t xml:space="preserve">of </w:t>
      </w:r>
      <w:r w:rsidRPr="00A746CB">
        <w:rPr>
          <w:szCs w:val="23"/>
        </w:rPr>
        <w:t xml:space="preserve">oceanic </w:t>
      </w:r>
      <w:r>
        <w:rPr>
          <w:szCs w:val="23"/>
        </w:rPr>
        <w:t>opening</w:t>
      </w:r>
      <w:r w:rsidRPr="00A746CB">
        <w:rPr>
          <w:szCs w:val="23"/>
        </w:rPr>
        <w:t xml:space="preserve"> </w:t>
      </w:r>
      <w:r w:rsidR="006A7A10">
        <w:rPr>
          <w:szCs w:val="23"/>
        </w:rPr>
        <w:t xml:space="preserve">in the Burdigalian </w:t>
      </w:r>
      <w:r w:rsidR="006A7A10" w:rsidRPr="00BE7AC6">
        <w:rPr>
          <w:shadow/>
          <w:szCs w:val="23"/>
        </w:rPr>
        <w:t>(ca. 20 – 16 Ma</w:t>
      </w:r>
      <w:r w:rsidR="006A7A10">
        <w:rPr>
          <w:shadow/>
          <w:szCs w:val="23"/>
        </w:rPr>
        <w:t>). Figure 3 shows</w:t>
      </w:r>
      <w:r w:rsidR="006A7A10">
        <w:rPr>
          <w:szCs w:val="23"/>
        </w:rPr>
        <w:t xml:space="preserve"> that this seafloor spreading episode occurred in</w:t>
      </w:r>
      <w:r>
        <w:rPr>
          <w:szCs w:val="23"/>
        </w:rPr>
        <w:t xml:space="preserve"> the </w:t>
      </w:r>
      <w:r w:rsidRPr="00A746CB">
        <w:rPr>
          <w:szCs w:val="23"/>
        </w:rPr>
        <w:t xml:space="preserve">European </w:t>
      </w:r>
      <w:r w:rsidR="00140581">
        <w:rPr>
          <w:szCs w:val="23"/>
        </w:rPr>
        <w:t>lithosphere</w:t>
      </w:r>
      <w:r>
        <w:rPr>
          <w:szCs w:val="23"/>
        </w:rPr>
        <w:t xml:space="preserve"> (</w:t>
      </w:r>
      <w:r w:rsidRPr="00A746CB">
        <w:rPr>
          <w:szCs w:val="23"/>
        </w:rPr>
        <w:t xml:space="preserve">Sardinia-Provence </w:t>
      </w:r>
      <w:r>
        <w:rPr>
          <w:szCs w:val="23"/>
        </w:rPr>
        <w:t>basin)</w:t>
      </w:r>
      <w:r w:rsidRPr="00A746CB">
        <w:rPr>
          <w:szCs w:val="23"/>
        </w:rPr>
        <w:t xml:space="preserve"> and </w:t>
      </w:r>
      <w:r>
        <w:rPr>
          <w:szCs w:val="23"/>
        </w:rPr>
        <w:t xml:space="preserve">the </w:t>
      </w:r>
      <w:r w:rsidRPr="00A746CB">
        <w:rPr>
          <w:szCs w:val="23"/>
        </w:rPr>
        <w:t xml:space="preserve">western part of submerged orogen </w:t>
      </w:r>
      <w:r>
        <w:rPr>
          <w:szCs w:val="23"/>
        </w:rPr>
        <w:t>(</w:t>
      </w:r>
      <w:r w:rsidRPr="00A746CB">
        <w:rPr>
          <w:szCs w:val="23"/>
        </w:rPr>
        <w:t>north Algeria basin</w:t>
      </w:r>
      <w:r>
        <w:rPr>
          <w:szCs w:val="23"/>
        </w:rPr>
        <w:t>).</w:t>
      </w:r>
      <w:r w:rsidR="00A451C4" w:rsidRPr="00A746CB">
        <w:rPr>
          <w:szCs w:val="23"/>
        </w:rPr>
        <w:t xml:space="preserve"> The Sardinia-Provence and north Algeria basins are found respectively east and west of the Catalan-Tunisian </w:t>
      </w:r>
      <w:r w:rsidR="00A451C4" w:rsidRPr="00A746CB">
        <w:rPr>
          <w:szCs w:val="23"/>
        </w:rPr>
        <w:lastRenderedPageBreak/>
        <w:t xml:space="preserve">fracture </w:t>
      </w:r>
      <w:r w:rsidR="003A64D9" w:rsidRPr="00A746CB">
        <w:rPr>
          <w:szCs w:val="23"/>
        </w:rPr>
        <w:t xml:space="preserve">zone </w:t>
      </w:r>
      <w:r w:rsidR="00A451C4" w:rsidRPr="00A746CB">
        <w:rPr>
          <w:szCs w:val="23"/>
        </w:rPr>
        <w:t>(Fig</w:t>
      </w:r>
      <w:r w:rsidR="0089395B" w:rsidRPr="00A746CB">
        <w:rPr>
          <w:szCs w:val="23"/>
        </w:rPr>
        <w:t>s</w:t>
      </w:r>
      <w:r w:rsidR="00A451C4" w:rsidRPr="00A746CB">
        <w:rPr>
          <w:szCs w:val="23"/>
        </w:rPr>
        <w:t xml:space="preserve">. </w:t>
      </w:r>
      <w:r w:rsidR="00B85676" w:rsidRPr="00A746CB">
        <w:rPr>
          <w:szCs w:val="23"/>
        </w:rPr>
        <w:t>1</w:t>
      </w:r>
      <w:r w:rsidR="0089395B" w:rsidRPr="00A746CB">
        <w:rPr>
          <w:szCs w:val="23"/>
        </w:rPr>
        <w:t xml:space="preserve"> and 3</w:t>
      </w:r>
      <w:r w:rsidR="00A451C4" w:rsidRPr="00A746CB">
        <w:rPr>
          <w:szCs w:val="23"/>
        </w:rPr>
        <w:t xml:space="preserve">). As </w:t>
      </w:r>
      <w:r w:rsidR="003F3FD0">
        <w:rPr>
          <w:szCs w:val="23"/>
        </w:rPr>
        <w:t>both</w:t>
      </w:r>
      <w:r w:rsidR="00A451C4" w:rsidRPr="00A746CB">
        <w:rPr>
          <w:szCs w:val="23"/>
        </w:rPr>
        <w:t xml:space="preserve"> </w:t>
      </w:r>
      <w:r w:rsidR="003F3FD0">
        <w:rPr>
          <w:szCs w:val="23"/>
        </w:rPr>
        <w:t xml:space="preserve">the </w:t>
      </w:r>
      <w:r w:rsidR="00A451C4" w:rsidRPr="00A746CB">
        <w:rPr>
          <w:szCs w:val="23"/>
        </w:rPr>
        <w:t xml:space="preserve">two </w:t>
      </w:r>
      <w:r w:rsidR="003F3FD0" w:rsidRPr="00A746CB">
        <w:rPr>
          <w:szCs w:val="23"/>
        </w:rPr>
        <w:t xml:space="preserve">deep </w:t>
      </w:r>
      <w:r w:rsidR="00A451C4" w:rsidRPr="00A746CB">
        <w:rPr>
          <w:szCs w:val="23"/>
        </w:rPr>
        <w:t xml:space="preserve">basins are not penetrable by </w:t>
      </w:r>
      <w:r w:rsidR="003F3FD0">
        <w:rPr>
          <w:szCs w:val="23"/>
        </w:rPr>
        <w:t xml:space="preserve">deep </w:t>
      </w:r>
      <w:r w:rsidR="00A451C4" w:rsidRPr="00A746CB">
        <w:rPr>
          <w:szCs w:val="23"/>
        </w:rPr>
        <w:t xml:space="preserve">drilling </w:t>
      </w:r>
      <w:r w:rsidR="003F3FD0" w:rsidRPr="00A746CB">
        <w:rPr>
          <w:szCs w:val="23"/>
        </w:rPr>
        <w:t xml:space="preserve">the </w:t>
      </w:r>
      <w:r w:rsidR="003F3FD0" w:rsidRPr="003F3FD0">
        <w:rPr>
          <w:szCs w:val="23"/>
        </w:rPr>
        <w:t>timing</w:t>
      </w:r>
      <w:r w:rsidR="003F3FD0">
        <w:rPr>
          <w:szCs w:val="23"/>
        </w:rPr>
        <w:t xml:space="preserve"> of </w:t>
      </w:r>
      <w:r w:rsidR="005378F7" w:rsidRPr="00A746CB">
        <w:rPr>
          <w:szCs w:val="23"/>
        </w:rPr>
        <w:t>the</w:t>
      </w:r>
      <w:r w:rsidR="003F3FD0">
        <w:rPr>
          <w:szCs w:val="23"/>
        </w:rPr>
        <w:t>ir</w:t>
      </w:r>
      <w:r w:rsidR="005378F7" w:rsidRPr="00A746CB">
        <w:rPr>
          <w:szCs w:val="23"/>
        </w:rPr>
        <w:t xml:space="preserve"> </w:t>
      </w:r>
      <w:r w:rsidR="00A451C4" w:rsidRPr="00A746CB">
        <w:rPr>
          <w:szCs w:val="23"/>
        </w:rPr>
        <w:t>oceanic opening</w:t>
      </w:r>
      <w:r w:rsidR="00CA4413" w:rsidRPr="00A746CB">
        <w:rPr>
          <w:szCs w:val="23"/>
        </w:rPr>
        <w:t xml:space="preserve"> </w:t>
      </w:r>
      <w:r w:rsidR="005378F7">
        <w:rPr>
          <w:szCs w:val="23"/>
        </w:rPr>
        <w:t xml:space="preserve">can be </w:t>
      </w:r>
      <w:r w:rsidR="003F3FD0">
        <w:rPr>
          <w:szCs w:val="23"/>
        </w:rPr>
        <w:t>studied</w:t>
      </w:r>
      <w:r w:rsidR="005378F7">
        <w:rPr>
          <w:szCs w:val="23"/>
        </w:rPr>
        <w:t xml:space="preserve"> only </w:t>
      </w:r>
      <w:r w:rsidR="003F3FD0">
        <w:rPr>
          <w:szCs w:val="23"/>
        </w:rPr>
        <w:t>in</w:t>
      </w:r>
      <w:r w:rsidR="00A451C4" w:rsidRPr="00A746CB">
        <w:rPr>
          <w:szCs w:val="23"/>
        </w:rPr>
        <w:t xml:space="preserve"> the margins. </w:t>
      </w:r>
    </w:p>
    <w:p w:rsidR="006A6436" w:rsidRDefault="00A451C4" w:rsidP="00661237">
      <w:pPr>
        <w:autoSpaceDE/>
        <w:spacing w:line="240" w:lineRule="auto"/>
        <w:ind w:firstLine="709"/>
        <w:rPr>
          <w:szCs w:val="23"/>
        </w:rPr>
      </w:pPr>
      <w:r w:rsidRPr="00A746CB">
        <w:rPr>
          <w:szCs w:val="23"/>
        </w:rPr>
        <w:t xml:space="preserve">Formation of Sardinia-Provence basin </w:t>
      </w:r>
      <w:r w:rsidR="00661237">
        <w:rPr>
          <w:szCs w:val="23"/>
        </w:rPr>
        <w:t>and</w:t>
      </w:r>
      <w:r w:rsidRPr="00A746CB">
        <w:rPr>
          <w:szCs w:val="23"/>
        </w:rPr>
        <w:t xml:space="preserve"> counter-clockwise rotation of </w:t>
      </w:r>
      <w:r w:rsidR="00661237">
        <w:rPr>
          <w:szCs w:val="23"/>
        </w:rPr>
        <w:t>the</w:t>
      </w:r>
      <w:r w:rsidRPr="00A746CB">
        <w:rPr>
          <w:szCs w:val="23"/>
        </w:rPr>
        <w:t xml:space="preserve"> Hercynian </w:t>
      </w:r>
      <w:r w:rsidR="00661237">
        <w:rPr>
          <w:szCs w:val="23"/>
        </w:rPr>
        <w:t>magma-rich margin</w:t>
      </w:r>
      <w:r w:rsidR="00661237" w:rsidRPr="00A746CB">
        <w:rPr>
          <w:szCs w:val="23"/>
        </w:rPr>
        <w:t xml:space="preserve"> </w:t>
      </w:r>
      <w:r w:rsidR="00661237">
        <w:rPr>
          <w:szCs w:val="23"/>
        </w:rPr>
        <w:t xml:space="preserve">of </w:t>
      </w:r>
      <w:r w:rsidRPr="00A746CB">
        <w:rPr>
          <w:szCs w:val="23"/>
        </w:rPr>
        <w:t xml:space="preserve">Corsica-Sardinia </w:t>
      </w:r>
      <w:r w:rsidR="00661237">
        <w:rPr>
          <w:szCs w:val="23"/>
        </w:rPr>
        <w:t>have been</w:t>
      </w:r>
      <w:r w:rsidRPr="00A746CB">
        <w:rPr>
          <w:szCs w:val="23"/>
        </w:rPr>
        <w:t xml:space="preserve"> determined from paleomagnetic and geochronological </w:t>
      </w:r>
      <w:r w:rsidR="00A93024">
        <w:rPr>
          <w:szCs w:val="23"/>
        </w:rPr>
        <w:t xml:space="preserve">data </w:t>
      </w:r>
      <w:r w:rsidR="001D1693">
        <w:rPr>
          <w:szCs w:val="23"/>
        </w:rPr>
        <w:t>about the</w:t>
      </w:r>
      <w:r w:rsidR="00A93024">
        <w:rPr>
          <w:szCs w:val="23"/>
        </w:rPr>
        <w:t xml:space="preserve"> </w:t>
      </w:r>
      <w:r w:rsidR="001D1693">
        <w:rPr>
          <w:szCs w:val="23"/>
        </w:rPr>
        <w:t xml:space="preserve">widespread </w:t>
      </w:r>
      <w:r w:rsidR="00A93024">
        <w:rPr>
          <w:szCs w:val="23"/>
        </w:rPr>
        <w:t>volcani</w:t>
      </w:r>
      <w:r w:rsidR="001D1693">
        <w:rPr>
          <w:szCs w:val="23"/>
        </w:rPr>
        <w:t>sm</w:t>
      </w:r>
      <w:r w:rsidR="00A93024">
        <w:rPr>
          <w:szCs w:val="23"/>
        </w:rPr>
        <w:t xml:space="preserve"> o</w:t>
      </w:r>
      <w:r w:rsidR="001D1693">
        <w:rPr>
          <w:szCs w:val="23"/>
        </w:rPr>
        <w:t>f western Sardinia</w:t>
      </w:r>
      <w:r w:rsidR="00055AF1" w:rsidRPr="00055AF1">
        <w:rPr>
          <w:b/>
          <w:color w:val="0070C0"/>
          <w:szCs w:val="23"/>
          <w:vertAlign w:val="superscript"/>
        </w:rPr>
        <w:t>12</w:t>
      </w:r>
      <w:r w:rsidR="00BD7DA2">
        <w:rPr>
          <w:b/>
          <w:color w:val="0070C0"/>
          <w:szCs w:val="23"/>
          <w:vertAlign w:val="superscript"/>
        </w:rPr>
        <w:t>, 13</w:t>
      </w:r>
      <w:r w:rsidR="0058586D">
        <w:rPr>
          <w:szCs w:val="23"/>
        </w:rPr>
        <w:t>.</w:t>
      </w:r>
      <w:r w:rsidR="00661237">
        <w:rPr>
          <w:szCs w:val="23"/>
        </w:rPr>
        <w:t xml:space="preserve"> </w:t>
      </w:r>
      <w:r w:rsidRPr="00A746CB">
        <w:rPr>
          <w:szCs w:val="23"/>
        </w:rPr>
        <w:t xml:space="preserve">A temporal overlap of the Sardinian-Provence and north Algeria openings </w:t>
      </w:r>
      <w:r w:rsidR="005378F7">
        <w:rPr>
          <w:szCs w:val="23"/>
        </w:rPr>
        <w:t>has</w:t>
      </w:r>
      <w:r w:rsidRPr="00A746CB">
        <w:rPr>
          <w:szCs w:val="23"/>
        </w:rPr>
        <w:t xml:space="preserve"> </w:t>
      </w:r>
      <w:r w:rsidR="005378F7">
        <w:rPr>
          <w:szCs w:val="23"/>
        </w:rPr>
        <w:t xml:space="preserve">been </w:t>
      </w:r>
      <w:r w:rsidRPr="00A746CB">
        <w:rPr>
          <w:szCs w:val="23"/>
        </w:rPr>
        <w:t>considered by various authors</w:t>
      </w:r>
      <w:r w:rsidR="00BC32F2" w:rsidRPr="00BC32F2">
        <w:rPr>
          <w:b/>
          <w:color w:val="0070C0"/>
          <w:szCs w:val="23"/>
          <w:vertAlign w:val="superscript"/>
        </w:rPr>
        <w:t>5, 10</w:t>
      </w:r>
      <w:r w:rsidR="00BD7DA2">
        <w:rPr>
          <w:szCs w:val="23"/>
        </w:rPr>
        <w:t xml:space="preserve">. </w:t>
      </w:r>
      <w:r w:rsidR="00A93024">
        <w:rPr>
          <w:szCs w:val="23"/>
        </w:rPr>
        <w:t xml:space="preserve">A </w:t>
      </w:r>
      <w:r w:rsidRPr="00A746CB">
        <w:rPr>
          <w:szCs w:val="23"/>
        </w:rPr>
        <w:t xml:space="preserve">17.8 Ma </w:t>
      </w:r>
      <w:r w:rsidR="00A93024">
        <w:rPr>
          <w:szCs w:val="23"/>
        </w:rPr>
        <w:t>dating of</w:t>
      </w:r>
      <w:r w:rsidRPr="00A746CB">
        <w:rPr>
          <w:szCs w:val="23"/>
        </w:rPr>
        <w:t xml:space="preserve"> monazite (</w:t>
      </w:r>
      <w:r w:rsidR="00A93024" w:rsidRPr="00A746CB">
        <w:rPr>
          <w:szCs w:val="23"/>
        </w:rPr>
        <w:t xml:space="preserve">deformed leucogranite </w:t>
      </w:r>
      <w:r w:rsidR="00A93024">
        <w:rPr>
          <w:szCs w:val="23"/>
        </w:rPr>
        <w:t xml:space="preserve">of </w:t>
      </w:r>
      <w:r w:rsidRPr="00A746CB">
        <w:rPr>
          <w:szCs w:val="23"/>
        </w:rPr>
        <w:t xml:space="preserve">Edough </w:t>
      </w:r>
      <w:r w:rsidR="00A93024" w:rsidRPr="00A746CB">
        <w:rPr>
          <w:szCs w:val="23"/>
        </w:rPr>
        <w:t xml:space="preserve">granitoid </w:t>
      </w:r>
      <w:r w:rsidRPr="00A746CB">
        <w:rPr>
          <w:szCs w:val="23"/>
        </w:rPr>
        <w:t>Massif of Little Kabylia</w:t>
      </w:r>
      <w:r w:rsidR="00A93024">
        <w:rPr>
          <w:szCs w:val="23"/>
        </w:rPr>
        <w:t>;</w:t>
      </w:r>
      <w:r w:rsidR="00A93024" w:rsidRPr="00A93024">
        <w:rPr>
          <w:szCs w:val="23"/>
        </w:rPr>
        <w:t xml:space="preserve"> </w:t>
      </w:r>
      <w:r w:rsidR="00A93024" w:rsidRPr="00A746CB">
        <w:rPr>
          <w:szCs w:val="23"/>
        </w:rPr>
        <w:t>site 12,</w:t>
      </w:r>
      <w:r w:rsidRPr="00A746CB">
        <w:rPr>
          <w:szCs w:val="23"/>
        </w:rPr>
        <w:t xml:space="preserve">) </w:t>
      </w:r>
      <w:r w:rsidR="00B54945">
        <w:rPr>
          <w:szCs w:val="23"/>
        </w:rPr>
        <w:t xml:space="preserve">may </w:t>
      </w:r>
      <w:r w:rsidRPr="00A746CB">
        <w:rPr>
          <w:szCs w:val="23"/>
        </w:rPr>
        <w:t xml:space="preserve">reflect </w:t>
      </w:r>
      <w:r w:rsidR="000C295E">
        <w:rPr>
          <w:szCs w:val="23"/>
        </w:rPr>
        <w:t xml:space="preserve">the age of </w:t>
      </w:r>
      <w:r w:rsidRPr="00A746CB">
        <w:rPr>
          <w:szCs w:val="23"/>
        </w:rPr>
        <w:t>thrusting connected with opening of the north Algeria basin</w:t>
      </w:r>
      <w:r w:rsidR="00B54945" w:rsidRPr="00B54945">
        <w:rPr>
          <w:b/>
          <w:color w:val="0070C0"/>
          <w:szCs w:val="23"/>
          <w:vertAlign w:val="superscript"/>
        </w:rPr>
        <w:t>14</w:t>
      </w:r>
      <w:r w:rsidRPr="00A746CB">
        <w:rPr>
          <w:szCs w:val="23"/>
        </w:rPr>
        <w:t xml:space="preserve">. </w:t>
      </w:r>
      <w:r w:rsidR="00B54945">
        <w:rPr>
          <w:szCs w:val="23"/>
        </w:rPr>
        <w:t>E</w:t>
      </w:r>
      <w:r w:rsidRPr="00A746CB">
        <w:rPr>
          <w:szCs w:val="23"/>
        </w:rPr>
        <w:t>mplacement of granitoid</w:t>
      </w:r>
      <w:r w:rsidR="00BD7DA2">
        <w:rPr>
          <w:szCs w:val="23"/>
        </w:rPr>
        <w:t xml:space="preserve">s, and andesite and </w:t>
      </w:r>
      <w:r w:rsidRPr="00A746CB">
        <w:rPr>
          <w:szCs w:val="23"/>
        </w:rPr>
        <w:t>dacite bodies along the Algerian coast</w:t>
      </w:r>
      <w:r w:rsidR="00B54945" w:rsidRPr="00B54945">
        <w:rPr>
          <w:szCs w:val="23"/>
        </w:rPr>
        <w:t xml:space="preserve"> </w:t>
      </w:r>
      <w:r w:rsidR="00B54945">
        <w:rPr>
          <w:szCs w:val="23"/>
        </w:rPr>
        <w:t>(16-15 Ma)</w:t>
      </w:r>
      <w:r w:rsidRPr="00A746CB">
        <w:rPr>
          <w:szCs w:val="23"/>
        </w:rPr>
        <w:t xml:space="preserve"> </w:t>
      </w:r>
      <w:r w:rsidR="00B54945">
        <w:rPr>
          <w:szCs w:val="23"/>
        </w:rPr>
        <w:t xml:space="preserve">may go with </w:t>
      </w:r>
      <w:r w:rsidR="005368B2">
        <w:rPr>
          <w:szCs w:val="23"/>
        </w:rPr>
        <w:t xml:space="preserve">the </w:t>
      </w:r>
      <w:r w:rsidR="003F3FD0">
        <w:rPr>
          <w:szCs w:val="23"/>
        </w:rPr>
        <w:t xml:space="preserve">end of </w:t>
      </w:r>
      <w:r w:rsidRPr="00A746CB">
        <w:rPr>
          <w:szCs w:val="23"/>
        </w:rPr>
        <w:t>oceanic spreading of the corresponding offshore</w:t>
      </w:r>
      <w:r w:rsidR="00B54945">
        <w:rPr>
          <w:b/>
          <w:color w:val="0070C0"/>
          <w:szCs w:val="23"/>
          <w:vertAlign w:val="superscript"/>
        </w:rPr>
        <w:t>15</w:t>
      </w:r>
      <w:r w:rsidRPr="00A746CB">
        <w:rPr>
          <w:szCs w:val="23"/>
        </w:rPr>
        <w:t>.</w:t>
      </w:r>
    </w:p>
    <w:p w:rsidR="00340404" w:rsidRPr="00CA4E27" w:rsidRDefault="00415791" w:rsidP="00340404">
      <w:pPr>
        <w:pStyle w:val="Testonormale"/>
        <w:spacing w:line="240" w:lineRule="auto"/>
        <w:jc w:val="both"/>
        <w:rPr>
          <w:rFonts w:ascii="Times New Roman" w:hAnsi="Times New Roman" w:cs="Times New Roman"/>
          <w:bCs/>
          <w:lang w:val="en-GB"/>
        </w:rPr>
      </w:pPr>
      <w:r>
        <w:rPr>
          <w:noProof/>
          <w:szCs w:val="23"/>
        </w:rPr>
        <w:drawing>
          <wp:inline distT="0" distB="0" distL="0" distR="0">
            <wp:extent cx="5734050" cy="4733925"/>
            <wp:effectExtent l="19050" t="0" r="0" b="0"/>
            <wp:docPr id="3" name="Immagine 3"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5"/>
                    <pic:cNvPicPr>
                      <a:picLocks noChangeAspect="1" noChangeArrowheads="1"/>
                    </pic:cNvPicPr>
                  </pic:nvPicPr>
                  <pic:blipFill>
                    <a:blip r:embed="rId11" cstate="print"/>
                    <a:srcRect/>
                    <a:stretch>
                      <a:fillRect/>
                    </a:stretch>
                  </pic:blipFill>
                  <pic:spPr bwMode="auto">
                    <a:xfrm>
                      <a:off x="0" y="0"/>
                      <a:ext cx="5734050" cy="4733925"/>
                    </a:xfrm>
                    <a:prstGeom prst="rect">
                      <a:avLst/>
                    </a:prstGeom>
                    <a:noFill/>
                    <a:ln w="9525">
                      <a:noFill/>
                      <a:miter lim="800000"/>
                      <a:headEnd/>
                      <a:tailEnd/>
                    </a:ln>
                  </pic:spPr>
                </pic:pic>
              </a:graphicData>
            </a:graphic>
          </wp:inline>
        </w:drawing>
      </w:r>
      <w:r w:rsidR="00C16657" w:rsidRPr="00CA4E27">
        <w:rPr>
          <w:rFonts w:ascii="Times New Roman" w:hAnsi="Times New Roman" w:cs="Times New Roman"/>
          <w:b/>
          <w:lang w:val="en-GB"/>
        </w:rPr>
        <w:t xml:space="preserve"> Figure </w:t>
      </w:r>
      <w:r w:rsidR="003171DE" w:rsidRPr="00CA4E27">
        <w:rPr>
          <w:rFonts w:ascii="Times New Roman" w:hAnsi="Times New Roman" w:cs="Times New Roman"/>
          <w:b/>
          <w:lang w:val="en-GB"/>
        </w:rPr>
        <w:t>4</w:t>
      </w:r>
      <w:r w:rsidR="00C16657" w:rsidRPr="00CA4E27">
        <w:rPr>
          <w:rFonts w:ascii="Times New Roman" w:hAnsi="Times New Roman" w:cs="Times New Roman"/>
          <w:lang w:val="en-GB"/>
        </w:rPr>
        <w:t>. Multibeam seafloor morpholog</w:t>
      </w:r>
      <w:r w:rsidR="00CA4E27">
        <w:rPr>
          <w:rFonts w:ascii="Times New Roman" w:hAnsi="Times New Roman" w:cs="Times New Roman"/>
          <w:lang w:val="en-GB"/>
        </w:rPr>
        <w:t xml:space="preserve">y of the Vavilov bathyal plain </w:t>
      </w:r>
      <w:r w:rsidR="00CA4E27">
        <w:rPr>
          <w:rFonts w:ascii="Times New Roman" w:hAnsi="Times New Roman" w:cs="Times New Roman"/>
          <w:iCs/>
          <w:lang w:val="en-GB"/>
        </w:rPr>
        <w:t>from</w:t>
      </w:r>
      <w:r w:rsidR="00CA4E27" w:rsidRPr="00CA4E27">
        <w:rPr>
          <w:rFonts w:ascii="Times New Roman" w:hAnsi="Times New Roman" w:cs="Times New Roman"/>
          <w:iCs/>
          <w:lang w:val="en-GB"/>
        </w:rPr>
        <w:t xml:space="preserve"> bathymetric survey</w:t>
      </w:r>
      <w:r w:rsidR="00CA4E27" w:rsidRPr="00CA4E27">
        <w:rPr>
          <w:rFonts w:ascii="Times New Roman" w:hAnsi="Times New Roman" w:cs="Times New Roman"/>
          <w:b/>
          <w:iCs/>
          <w:color w:val="0070C0"/>
          <w:vertAlign w:val="superscript"/>
          <w:lang w:val="en-GB"/>
        </w:rPr>
        <w:t>16</w:t>
      </w:r>
      <w:r w:rsidR="00CA4E27">
        <w:rPr>
          <w:rFonts w:ascii="Times New Roman" w:hAnsi="Times New Roman" w:cs="Times New Roman"/>
          <w:lang w:val="en-GB"/>
        </w:rPr>
        <w:t>;</w:t>
      </w:r>
      <w:r w:rsidR="00C16657" w:rsidRPr="00CA4E27">
        <w:rPr>
          <w:rFonts w:ascii="Times New Roman" w:hAnsi="Times New Roman" w:cs="Times New Roman"/>
          <w:lang w:val="en-GB"/>
        </w:rPr>
        <w:t xml:space="preserve"> </w:t>
      </w:r>
      <w:r w:rsidR="00CA4E27" w:rsidRPr="00CA4E27">
        <w:rPr>
          <w:rFonts w:ascii="Times New Roman" w:hAnsi="Times New Roman" w:cs="Times New Roman"/>
          <w:iCs/>
          <w:lang w:val="en-GB"/>
        </w:rPr>
        <w:t>illumination from the NW</w:t>
      </w:r>
      <w:r w:rsidR="00CA4E27">
        <w:rPr>
          <w:rFonts w:ascii="Times New Roman" w:hAnsi="Times New Roman" w:cs="Times New Roman"/>
          <w:iCs/>
          <w:lang w:val="en-GB"/>
        </w:rPr>
        <w:t>.</w:t>
      </w:r>
      <w:r w:rsidR="00CA4E27" w:rsidRPr="00CA4E27">
        <w:rPr>
          <w:rFonts w:ascii="Times New Roman" w:hAnsi="Times New Roman" w:cs="Times New Roman"/>
          <w:iCs/>
          <w:lang w:val="en-GB"/>
        </w:rPr>
        <w:t xml:space="preserve"> </w:t>
      </w:r>
      <w:r w:rsidR="00C16657" w:rsidRPr="00CA4E27">
        <w:rPr>
          <w:rFonts w:ascii="Times New Roman" w:hAnsi="Times New Roman" w:cs="Times New Roman"/>
          <w:lang w:val="en-GB"/>
        </w:rPr>
        <w:t>Main</w:t>
      </w:r>
      <w:r w:rsidR="00C16657" w:rsidRPr="00CA4E27">
        <w:rPr>
          <w:rFonts w:ascii="Times New Roman" w:hAnsi="Times New Roman" w:cs="Times New Roman"/>
          <w:iCs/>
          <w:lang w:val="en-GB"/>
        </w:rPr>
        <w:t xml:space="preserve"> morphological elements</w:t>
      </w:r>
      <w:r w:rsidR="00C16657" w:rsidRPr="00CA4E27">
        <w:rPr>
          <w:rFonts w:ascii="Times New Roman" w:hAnsi="Times New Roman" w:cs="Times New Roman"/>
          <w:lang w:val="en-GB"/>
        </w:rPr>
        <w:t xml:space="preserve"> are</w:t>
      </w:r>
      <w:r w:rsidR="00C16657" w:rsidRPr="00CA4E27">
        <w:rPr>
          <w:rFonts w:ascii="Times New Roman" w:hAnsi="Times New Roman" w:cs="Times New Roman"/>
          <w:iCs/>
          <w:lang w:val="en-GB"/>
        </w:rPr>
        <w:t>: the large volcanoes Vavilov (V) and Magnaghi (M), the Gortani (G) and D’Ancona (Da) ridges, the De Marchi (De) and Flavio Gioia (F) tilted blocks and the Selli Line (SL) fault. Refer to text for discussion of salient features of the DSDP and ODP drillsites; the site of ODP 654 drilling is placed 65 km (35 nm) to the WNW of site 653</w:t>
      </w:r>
      <w:r w:rsidR="00340404" w:rsidRPr="00CA4E27">
        <w:rPr>
          <w:rFonts w:ascii="Times New Roman" w:hAnsi="Times New Roman" w:cs="Times New Roman"/>
          <w:b/>
          <w:lang w:val="en-GB"/>
        </w:rPr>
        <w:t>.</w:t>
      </w:r>
    </w:p>
    <w:p w:rsidR="00C16657" w:rsidRPr="00CA4E27" w:rsidRDefault="00C16657" w:rsidP="00C16657">
      <w:pPr>
        <w:spacing w:line="240" w:lineRule="auto"/>
        <w:ind w:hanging="142"/>
        <w:rPr>
          <w:iCs/>
          <w:sz w:val="20"/>
          <w:szCs w:val="20"/>
        </w:rPr>
      </w:pPr>
    </w:p>
    <w:p w:rsidR="00C16657" w:rsidRPr="00A746CB" w:rsidRDefault="00C16657" w:rsidP="00C16657">
      <w:pPr>
        <w:spacing w:line="240" w:lineRule="auto"/>
        <w:ind w:hanging="142"/>
        <w:rPr>
          <w:iCs/>
          <w:szCs w:val="23"/>
        </w:rPr>
      </w:pPr>
    </w:p>
    <w:p w:rsidR="00022D49" w:rsidRPr="00A746CB" w:rsidRDefault="00022D49" w:rsidP="00351C20">
      <w:pPr>
        <w:pStyle w:val="Paragrafoelenco"/>
        <w:spacing w:line="240" w:lineRule="auto"/>
        <w:ind w:left="360" w:hanging="360"/>
        <w:rPr>
          <w:i/>
          <w:shadow/>
          <w:szCs w:val="23"/>
          <w:u w:val="single"/>
        </w:rPr>
      </w:pPr>
      <w:r w:rsidRPr="00A746CB">
        <w:rPr>
          <w:i/>
          <w:shadow/>
          <w:szCs w:val="23"/>
          <w:u w:val="single"/>
        </w:rPr>
        <w:t>Late Miocene (ca. 7.5 – 6.3 Ma)</w:t>
      </w:r>
    </w:p>
    <w:p w:rsidR="00D80639" w:rsidRDefault="00A83053" w:rsidP="00D80639">
      <w:pPr>
        <w:spacing w:line="240" w:lineRule="auto"/>
        <w:ind w:firstLine="709"/>
        <w:rPr>
          <w:szCs w:val="23"/>
        </w:rPr>
      </w:pPr>
      <w:r>
        <w:rPr>
          <w:rFonts w:eastAsia="Times New Roman"/>
          <w:bCs/>
          <w:color w:val="231F20"/>
          <w:szCs w:val="23"/>
          <w:lang w:eastAsia="en-US"/>
        </w:rPr>
        <w:t>A</w:t>
      </w:r>
      <w:r w:rsidR="00022D49" w:rsidRPr="00A746CB">
        <w:rPr>
          <w:rFonts w:eastAsia="Times New Roman"/>
          <w:bCs/>
          <w:color w:val="231F20"/>
          <w:szCs w:val="23"/>
          <w:lang w:eastAsia="en-US"/>
        </w:rPr>
        <w:t xml:space="preserve"> recent morpho-bathymetric multibeam survey</w:t>
      </w:r>
      <w:r w:rsidR="00CB39BF" w:rsidRPr="00CB39BF">
        <w:rPr>
          <w:rFonts w:eastAsia="Times New Roman"/>
          <w:b/>
          <w:bCs/>
          <w:color w:val="0070C0"/>
          <w:szCs w:val="23"/>
          <w:vertAlign w:val="superscript"/>
          <w:lang w:eastAsia="en-US"/>
        </w:rPr>
        <w:t>16</w:t>
      </w:r>
      <w:r w:rsidR="00022D49" w:rsidRPr="00A746CB">
        <w:rPr>
          <w:rFonts w:eastAsia="Times New Roman"/>
          <w:bCs/>
          <w:color w:val="231F20"/>
          <w:szCs w:val="23"/>
          <w:lang w:eastAsia="en-US"/>
        </w:rPr>
        <w:t xml:space="preserve"> </w:t>
      </w:r>
      <w:r w:rsidR="00022D49" w:rsidRPr="00A746CB">
        <w:rPr>
          <w:szCs w:val="23"/>
        </w:rPr>
        <w:t xml:space="preserve">(Fig. </w:t>
      </w:r>
      <w:r w:rsidR="003171DE">
        <w:rPr>
          <w:szCs w:val="23"/>
        </w:rPr>
        <w:t>3</w:t>
      </w:r>
      <w:r w:rsidR="00CB39BF">
        <w:rPr>
          <w:szCs w:val="23"/>
        </w:rPr>
        <w:t>)</w:t>
      </w:r>
      <w:r w:rsidR="00927C65">
        <w:rPr>
          <w:szCs w:val="23"/>
        </w:rPr>
        <w:t xml:space="preserve"> </w:t>
      </w:r>
      <w:r w:rsidR="00557A55">
        <w:rPr>
          <w:rFonts w:eastAsia="Times New Roman"/>
          <w:bCs/>
          <w:color w:val="231F20"/>
          <w:szCs w:val="23"/>
          <w:lang w:eastAsia="en-US"/>
        </w:rPr>
        <w:t>and</w:t>
      </w:r>
      <w:r w:rsidR="00022D49" w:rsidRPr="00A746CB">
        <w:rPr>
          <w:rFonts w:eastAsia="Times New Roman"/>
          <w:bCs/>
          <w:color w:val="231F20"/>
          <w:szCs w:val="23"/>
          <w:lang w:eastAsia="en-US"/>
        </w:rPr>
        <w:t xml:space="preserve"> </w:t>
      </w:r>
      <w:r w:rsidR="006A7A10">
        <w:rPr>
          <w:rFonts w:eastAsia="Times New Roman"/>
          <w:bCs/>
          <w:color w:val="231F20"/>
          <w:szCs w:val="23"/>
          <w:lang w:eastAsia="en-US"/>
        </w:rPr>
        <w:t>available information of</w:t>
      </w:r>
      <w:r w:rsidR="00650C92">
        <w:rPr>
          <w:rFonts w:eastAsia="Times New Roman"/>
          <w:bCs/>
          <w:color w:val="231F20"/>
          <w:szCs w:val="23"/>
          <w:lang w:eastAsia="en-US"/>
        </w:rPr>
        <w:t xml:space="preserve"> </w:t>
      </w:r>
      <w:r w:rsidR="00022D49" w:rsidRPr="00A746CB">
        <w:rPr>
          <w:rFonts w:eastAsia="Times New Roman"/>
          <w:bCs/>
          <w:color w:val="231F20"/>
          <w:szCs w:val="23"/>
          <w:lang w:eastAsia="en-US"/>
        </w:rPr>
        <w:t>basement lithology</w:t>
      </w:r>
      <w:r w:rsidR="00CB39BF" w:rsidRPr="00CB39BF">
        <w:rPr>
          <w:rFonts w:eastAsia="Times New Roman"/>
          <w:b/>
          <w:bCs/>
          <w:color w:val="0070C0"/>
          <w:szCs w:val="23"/>
          <w:vertAlign w:val="superscript"/>
          <w:lang w:eastAsia="en-US"/>
        </w:rPr>
        <w:t>17</w:t>
      </w:r>
      <w:r w:rsidR="005368B2" w:rsidRPr="005368B2">
        <w:rPr>
          <w:rFonts w:eastAsia="Times New Roman"/>
          <w:bCs/>
          <w:szCs w:val="23"/>
          <w:lang w:eastAsia="en-US"/>
        </w:rPr>
        <w:t xml:space="preserve"> </w:t>
      </w:r>
      <w:r w:rsidR="00022D49" w:rsidRPr="00A746CB">
        <w:rPr>
          <w:szCs w:val="23"/>
        </w:rPr>
        <w:t xml:space="preserve">provide </w:t>
      </w:r>
      <w:r w:rsidR="00022D49" w:rsidRPr="00A746CB">
        <w:rPr>
          <w:rFonts w:eastAsia="Times New Roman"/>
          <w:bCs/>
          <w:color w:val="231F20"/>
          <w:szCs w:val="23"/>
          <w:lang w:eastAsia="en-US"/>
        </w:rPr>
        <w:t xml:space="preserve">important </w:t>
      </w:r>
      <w:r w:rsidR="006A7A10">
        <w:rPr>
          <w:rFonts w:eastAsia="Times New Roman"/>
          <w:bCs/>
          <w:color w:val="231F20"/>
          <w:szCs w:val="23"/>
          <w:lang w:eastAsia="en-US"/>
        </w:rPr>
        <w:t>evidence</w:t>
      </w:r>
      <w:r w:rsidR="00022D49" w:rsidRPr="00A746CB">
        <w:rPr>
          <w:rFonts w:eastAsia="Times New Roman"/>
          <w:bCs/>
          <w:color w:val="231F20"/>
          <w:szCs w:val="23"/>
          <w:lang w:eastAsia="en-US"/>
        </w:rPr>
        <w:t xml:space="preserve"> for the better understanding of the </w:t>
      </w:r>
      <w:r w:rsidR="002F0FB0" w:rsidRPr="00A746CB">
        <w:rPr>
          <w:szCs w:val="23"/>
        </w:rPr>
        <w:t>complex</w:t>
      </w:r>
      <w:r w:rsidR="002F0FB0" w:rsidRPr="00A746CB">
        <w:rPr>
          <w:rFonts w:eastAsia="Times New Roman"/>
          <w:bCs/>
          <w:color w:val="231F20"/>
          <w:szCs w:val="23"/>
          <w:lang w:eastAsia="en-US"/>
        </w:rPr>
        <w:t xml:space="preserve"> </w:t>
      </w:r>
      <w:r w:rsidR="00022D49" w:rsidRPr="00A746CB">
        <w:rPr>
          <w:szCs w:val="23"/>
        </w:rPr>
        <w:t xml:space="preserve">Tyrrhenian </w:t>
      </w:r>
      <w:r w:rsidR="00022D49" w:rsidRPr="00A746CB">
        <w:rPr>
          <w:rFonts w:eastAsia="Times New Roman"/>
          <w:bCs/>
          <w:color w:val="231F20"/>
          <w:szCs w:val="23"/>
          <w:lang w:eastAsia="en-US"/>
        </w:rPr>
        <w:t>opening. T</w:t>
      </w:r>
      <w:r w:rsidR="00022D49" w:rsidRPr="00A746CB">
        <w:rPr>
          <w:szCs w:val="23"/>
        </w:rPr>
        <w:t>he morpho-s</w:t>
      </w:r>
      <w:r w:rsidR="00022D49" w:rsidRPr="00A746CB">
        <w:rPr>
          <w:bCs/>
          <w:szCs w:val="23"/>
        </w:rPr>
        <w:t xml:space="preserve">tructural </w:t>
      </w:r>
      <w:r w:rsidR="00022D49" w:rsidRPr="00A746CB">
        <w:rPr>
          <w:szCs w:val="23"/>
        </w:rPr>
        <w:t>features of the Vavilov ba</w:t>
      </w:r>
      <w:r w:rsidR="005368B2">
        <w:rPr>
          <w:szCs w:val="23"/>
        </w:rPr>
        <w:t xml:space="preserve">thyal plain </w:t>
      </w:r>
      <w:r w:rsidR="00022D49" w:rsidRPr="00A746CB">
        <w:rPr>
          <w:szCs w:val="23"/>
        </w:rPr>
        <w:t xml:space="preserve">(VB; 3400-3600 m bsl; Fig. 5) are multifaceted. In its northern part, two seamounts represent </w:t>
      </w:r>
      <w:r w:rsidR="00022D49" w:rsidRPr="00A746CB">
        <w:rPr>
          <w:rFonts w:eastAsia="Times New Roman"/>
          <w:szCs w:val="23"/>
          <w:lang w:eastAsia="en-US"/>
        </w:rPr>
        <w:t>inherited stretched relics of OAA. The western De Marchi</w:t>
      </w:r>
      <w:r w:rsidR="00022D49" w:rsidRPr="00A746CB">
        <w:rPr>
          <w:szCs w:val="23"/>
        </w:rPr>
        <w:t xml:space="preserve"> (De) and the Flavio Gioia (F) seamount to the east show N-S trend and elevation of 1200 m above the plain. The NE-SW Selli line (SL) is an important morphological feature separating the Tyrrhenian bathyal area from the passive margin offshore Sardinia. The former area is located within the </w:t>
      </w:r>
      <w:r w:rsidR="00022D49" w:rsidRPr="00A746CB">
        <w:rPr>
          <w:rFonts w:eastAsia="Times New Roman"/>
          <w:szCs w:val="23"/>
          <w:lang w:eastAsia="en-US"/>
        </w:rPr>
        <w:t>stretched OAA</w:t>
      </w:r>
      <w:r w:rsidR="00022D49" w:rsidRPr="00A746CB">
        <w:rPr>
          <w:szCs w:val="23"/>
        </w:rPr>
        <w:t xml:space="preserve"> and the latter belongs to the Hercynian lithosphere of the rotated Corsica-Sardinia block. The SL is the sea-floor expression of low-angle, east-dipping detachment faulting of continental crust which soles in the upper mantle beneath the Vavilov basin</w:t>
      </w:r>
      <w:r w:rsidR="00F64126" w:rsidRPr="008856DF">
        <w:rPr>
          <w:b/>
          <w:color w:val="0070C0"/>
          <w:szCs w:val="23"/>
          <w:vertAlign w:val="superscript"/>
        </w:rPr>
        <w:t>6</w:t>
      </w:r>
      <w:r w:rsidR="00022D49" w:rsidRPr="00A746CB">
        <w:rPr>
          <w:szCs w:val="23"/>
        </w:rPr>
        <w:t xml:space="preserve">. The N-S oriented, 40 km long Gortani ridge (G) with elevation of ca. 300/400 m is positioned between the </w:t>
      </w:r>
      <w:r w:rsidR="00022D49" w:rsidRPr="00A746CB">
        <w:rPr>
          <w:rFonts w:eastAsia="Times New Roman"/>
          <w:szCs w:val="23"/>
          <w:lang w:eastAsia="en-US"/>
        </w:rPr>
        <w:t xml:space="preserve">De Marchi and </w:t>
      </w:r>
      <w:r w:rsidR="00022D49" w:rsidRPr="00A746CB">
        <w:rPr>
          <w:szCs w:val="23"/>
        </w:rPr>
        <w:t xml:space="preserve">Flavio Gioia. In G, </w:t>
      </w:r>
      <w:r w:rsidR="00A63733" w:rsidRPr="00A746CB">
        <w:rPr>
          <w:szCs w:val="23"/>
        </w:rPr>
        <w:t xml:space="preserve">beneath 80 m </w:t>
      </w:r>
      <w:r w:rsidR="00A63733">
        <w:rPr>
          <w:szCs w:val="23"/>
        </w:rPr>
        <w:t xml:space="preserve">thick </w:t>
      </w:r>
      <w:r w:rsidR="00A63733" w:rsidRPr="00A746CB">
        <w:rPr>
          <w:szCs w:val="23"/>
        </w:rPr>
        <w:t>sediment</w:t>
      </w:r>
      <w:r w:rsidR="00A63733">
        <w:rPr>
          <w:szCs w:val="23"/>
        </w:rPr>
        <w:t>s</w:t>
      </w:r>
      <w:r w:rsidR="00A63733" w:rsidRPr="00A746CB">
        <w:rPr>
          <w:szCs w:val="23"/>
        </w:rPr>
        <w:t xml:space="preserve"> of late Pliocene </w:t>
      </w:r>
      <w:r w:rsidR="00A63733">
        <w:rPr>
          <w:szCs w:val="23"/>
        </w:rPr>
        <w:t>–</w:t>
      </w:r>
      <w:r w:rsidR="00A63733" w:rsidRPr="00A746CB">
        <w:rPr>
          <w:szCs w:val="23"/>
        </w:rPr>
        <w:t xml:space="preserve"> Quaternary</w:t>
      </w:r>
      <w:r w:rsidR="00A63733">
        <w:rPr>
          <w:szCs w:val="23"/>
        </w:rPr>
        <w:t xml:space="preserve"> age, </w:t>
      </w:r>
      <w:r w:rsidR="00022D49" w:rsidRPr="00A746CB">
        <w:rPr>
          <w:szCs w:val="23"/>
        </w:rPr>
        <w:t xml:space="preserve">the ODP site 655 drilled basalts of </w:t>
      </w:r>
      <w:r w:rsidR="00022D49" w:rsidRPr="00A746CB">
        <w:rPr>
          <w:szCs w:val="23"/>
        </w:rPr>
        <w:lastRenderedPageBreak/>
        <w:t>MORB (Mid Ocean Ridge Basalt) type. To the east of (G) and north of Vavilov seamount (V), ODP site 651 is floored with mantle peridotite.</w:t>
      </w:r>
      <w:r w:rsidR="00D80639">
        <w:rPr>
          <w:szCs w:val="23"/>
        </w:rPr>
        <w:t xml:space="preserve"> </w:t>
      </w:r>
      <w:r w:rsidR="00022D49" w:rsidRPr="00A746CB">
        <w:rPr>
          <w:szCs w:val="23"/>
        </w:rPr>
        <w:t xml:space="preserve">In the sourthern part of the Vavilov plain between the big volcanoes Magnaghi (M) and (V), the arcuate D’Ancona (Da) ridge initiates between the SL and </w:t>
      </w:r>
      <w:r w:rsidR="00022D49" w:rsidRPr="00A746CB">
        <w:rPr>
          <w:rFonts w:eastAsia="Times New Roman"/>
          <w:szCs w:val="23"/>
          <w:lang w:eastAsia="en-US"/>
        </w:rPr>
        <w:t>De Marchi</w:t>
      </w:r>
      <w:r w:rsidR="00022D49" w:rsidRPr="00A746CB">
        <w:rPr>
          <w:szCs w:val="23"/>
        </w:rPr>
        <w:t xml:space="preserve"> with elevation of 200-400 m and sediment cover up to 250 m. This bathyal structure reflects the complex architecture of oceanic opening within the stretched </w:t>
      </w:r>
      <w:r w:rsidR="00022D49" w:rsidRPr="00A746CB">
        <w:rPr>
          <w:rFonts w:eastAsia="Times New Roman"/>
          <w:szCs w:val="23"/>
          <w:lang w:eastAsia="en-US"/>
        </w:rPr>
        <w:t>relics of OAA</w:t>
      </w:r>
      <w:r w:rsidR="00022D49" w:rsidRPr="00A746CB">
        <w:rPr>
          <w:szCs w:val="23"/>
        </w:rPr>
        <w:t>. Seismic reflection and magnetic anomaly data indicates that isolated, deep-seated blocks of probable continental crust occur in the up to 800 m high part of the D’Ancona ridge flank</w:t>
      </w:r>
      <w:r w:rsidR="005368B2">
        <w:rPr>
          <w:szCs w:val="23"/>
        </w:rPr>
        <w:t>ing Vavilov seamount.</w:t>
      </w:r>
    </w:p>
    <w:p w:rsidR="005A269B" w:rsidRPr="00A746CB" w:rsidRDefault="00022D49" w:rsidP="00D80639">
      <w:pPr>
        <w:spacing w:line="240" w:lineRule="auto"/>
        <w:ind w:firstLine="709"/>
        <w:rPr>
          <w:szCs w:val="23"/>
        </w:rPr>
      </w:pPr>
      <w:r w:rsidRPr="00A746CB">
        <w:rPr>
          <w:szCs w:val="23"/>
        </w:rPr>
        <w:t xml:space="preserve">In the eastern </w:t>
      </w:r>
      <w:r w:rsidR="00BB5BA0">
        <w:rPr>
          <w:szCs w:val="23"/>
        </w:rPr>
        <w:t>rim</w:t>
      </w:r>
      <w:r w:rsidRPr="00A746CB">
        <w:rPr>
          <w:szCs w:val="23"/>
        </w:rPr>
        <w:t xml:space="preserve"> of Vavilov </w:t>
      </w:r>
      <w:r w:rsidR="007732F2" w:rsidRPr="00A746CB">
        <w:rPr>
          <w:szCs w:val="23"/>
        </w:rPr>
        <w:t xml:space="preserve">bathyal </w:t>
      </w:r>
      <w:r w:rsidR="00BB5BA0">
        <w:rPr>
          <w:szCs w:val="23"/>
        </w:rPr>
        <w:t>plain</w:t>
      </w:r>
      <w:r w:rsidRPr="00A746CB">
        <w:rPr>
          <w:szCs w:val="23"/>
        </w:rPr>
        <w:t xml:space="preserve">, at waterdepth of 3507 m the DSDP site 373 drilled 190 meter of </w:t>
      </w:r>
      <w:r w:rsidR="00DC5E86" w:rsidRPr="00A746CB">
        <w:rPr>
          <w:szCs w:val="23"/>
        </w:rPr>
        <w:t xml:space="preserve">lava </w:t>
      </w:r>
      <w:r w:rsidRPr="00A746CB">
        <w:rPr>
          <w:szCs w:val="23"/>
        </w:rPr>
        <w:t xml:space="preserve">flow and breccia of MORB-like composition </w:t>
      </w:r>
      <w:r w:rsidR="007732F2">
        <w:rPr>
          <w:szCs w:val="23"/>
        </w:rPr>
        <w:t xml:space="preserve">below </w:t>
      </w:r>
      <w:r w:rsidR="007732F2" w:rsidRPr="00A746CB">
        <w:rPr>
          <w:szCs w:val="23"/>
        </w:rPr>
        <w:t xml:space="preserve">280 m of early Pliocene-Quaternary sediments </w:t>
      </w:r>
      <w:r w:rsidRPr="00A746CB">
        <w:rPr>
          <w:szCs w:val="23"/>
        </w:rPr>
        <w:t xml:space="preserve">(Fig. </w:t>
      </w:r>
      <w:r w:rsidR="003171DE">
        <w:rPr>
          <w:szCs w:val="23"/>
        </w:rPr>
        <w:t>4</w:t>
      </w:r>
      <w:r w:rsidRPr="00A746CB">
        <w:rPr>
          <w:szCs w:val="23"/>
        </w:rPr>
        <w:t xml:space="preserve">). Six whole rock K/Ar determinations point to 7.5 to 6.3 +/- 0.8 Ma (late Tortonian – early Messinian) for the </w:t>
      </w:r>
      <w:r w:rsidR="007732F2">
        <w:rPr>
          <w:szCs w:val="23"/>
        </w:rPr>
        <w:t xml:space="preserve">site 373 </w:t>
      </w:r>
      <w:r w:rsidRPr="00A746CB">
        <w:rPr>
          <w:szCs w:val="23"/>
        </w:rPr>
        <w:t>basalt sequence</w:t>
      </w:r>
      <w:r w:rsidR="006523E3" w:rsidRPr="006523E3">
        <w:rPr>
          <w:b/>
          <w:color w:val="0070C0"/>
          <w:szCs w:val="23"/>
          <w:vertAlign w:val="superscript"/>
        </w:rPr>
        <w:t>18, 19</w:t>
      </w:r>
      <w:r w:rsidRPr="00A746CB">
        <w:rPr>
          <w:szCs w:val="23"/>
        </w:rPr>
        <w:t xml:space="preserve">. </w:t>
      </w:r>
      <w:r w:rsidR="00BB5BA0">
        <w:rPr>
          <w:szCs w:val="23"/>
        </w:rPr>
        <w:t xml:space="preserve">The </w:t>
      </w:r>
      <w:r w:rsidRPr="00A746CB">
        <w:rPr>
          <w:rFonts w:eastAsia="Times New Roman"/>
          <w:bCs/>
          <w:color w:val="231F20"/>
          <w:szCs w:val="23"/>
          <w:lang w:eastAsia="en-US"/>
        </w:rPr>
        <w:t xml:space="preserve">Tyrrhenian </w:t>
      </w:r>
      <w:r w:rsidR="00BB5BA0">
        <w:rPr>
          <w:rFonts w:eastAsia="Times New Roman"/>
          <w:bCs/>
          <w:color w:val="231F20"/>
          <w:szCs w:val="23"/>
          <w:lang w:eastAsia="en-US"/>
        </w:rPr>
        <w:t>s</w:t>
      </w:r>
      <w:r w:rsidR="00D80639">
        <w:rPr>
          <w:rFonts w:eastAsia="Times New Roman"/>
          <w:bCs/>
          <w:color w:val="231F20"/>
          <w:szCs w:val="23"/>
          <w:lang w:eastAsia="en-US"/>
        </w:rPr>
        <w:t>ea evaporitic</w:t>
      </w:r>
      <w:r w:rsidRPr="00A746CB">
        <w:rPr>
          <w:rFonts w:eastAsia="Times New Roman"/>
          <w:bCs/>
          <w:color w:val="231F20"/>
          <w:szCs w:val="23"/>
          <w:lang w:eastAsia="en-US"/>
        </w:rPr>
        <w:t xml:space="preserve"> </w:t>
      </w:r>
      <w:r w:rsidR="00B71A61" w:rsidRPr="00A746CB">
        <w:rPr>
          <w:rFonts w:eastAsia="Times New Roman"/>
          <w:bCs/>
          <w:color w:val="231F20"/>
          <w:szCs w:val="23"/>
          <w:lang w:eastAsia="en-US"/>
        </w:rPr>
        <w:t xml:space="preserve">sediments </w:t>
      </w:r>
      <w:r w:rsidR="00BB5BA0">
        <w:rPr>
          <w:rFonts w:eastAsia="Times New Roman"/>
          <w:bCs/>
          <w:color w:val="231F20"/>
          <w:szCs w:val="23"/>
          <w:lang w:eastAsia="en-US"/>
        </w:rPr>
        <w:t xml:space="preserve">are </w:t>
      </w:r>
      <w:r w:rsidR="00B71A61" w:rsidRPr="00A746CB">
        <w:rPr>
          <w:rFonts w:eastAsia="Times New Roman"/>
          <w:bCs/>
          <w:color w:val="231F20"/>
          <w:szCs w:val="23"/>
          <w:lang w:eastAsia="en-US"/>
        </w:rPr>
        <w:t xml:space="preserve">linked to the </w:t>
      </w:r>
      <w:r w:rsidR="00D80639">
        <w:rPr>
          <w:rFonts w:eastAsia="Times New Roman"/>
          <w:bCs/>
          <w:color w:val="231F20"/>
          <w:szCs w:val="23"/>
          <w:lang w:eastAsia="en-US"/>
        </w:rPr>
        <w:t>global</w:t>
      </w:r>
      <w:r w:rsidRPr="00A746CB">
        <w:rPr>
          <w:rFonts w:eastAsia="Times New Roman"/>
          <w:bCs/>
          <w:color w:val="231F20"/>
          <w:szCs w:val="23"/>
          <w:lang w:eastAsia="en-US"/>
        </w:rPr>
        <w:t xml:space="preserve"> event called th</w:t>
      </w:r>
      <w:r w:rsidR="007732F2">
        <w:rPr>
          <w:rFonts w:eastAsia="Times New Roman"/>
          <w:bCs/>
          <w:color w:val="231F20"/>
          <w:szCs w:val="23"/>
          <w:lang w:eastAsia="en-US"/>
        </w:rPr>
        <w:t>e “Messinian” salinity crisis</w:t>
      </w:r>
      <w:r w:rsidRPr="00A746CB">
        <w:rPr>
          <w:rFonts w:eastAsia="Times New Roman"/>
          <w:bCs/>
          <w:color w:val="231F20"/>
          <w:szCs w:val="23"/>
          <w:lang w:eastAsia="en-US"/>
        </w:rPr>
        <w:t xml:space="preserve"> </w:t>
      </w:r>
      <w:r w:rsidR="007732F2">
        <w:rPr>
          <w:rFonts w:eastAsia="Times New Roman"/>
          <w:bCs/>
          <w:color w:val="231F20"/>
          <w:szCs w:val="23"/>
          <w:lang w:eastAsia="en-US"/>
        </w:rPr>
        <w:t xml:space="preserve">which </w:t>
      </w:r>
      <w:r w:rsidRPr="00A746CB">
        <w:rPr>
          <w:rFonts w:eastAsia="Times New Roman"/>
          <w:bCs/>
          <w:color w:val="231F20"/>
          <w:szCs w:val="23"/>
          <w:lang w:eastAsia="en-US"/>
        </w:rPr>
        <w:t>initiated 5.96 Ma ago</w:t>
      </w:r>
      <w:r w:rsidR="006523E3" w:rsidRPr="006523E3">
        <w:rPr>
          <w:rFonts w:eastAsia="Times New Roman"/>
          <w:b/>
          <w:bCs/>
          <w:color w:val="0070C0"/>
          <w:szCs w:val="23"/>
          <w:vertAlign w:val="superscript"/>
          <w:lang w:eastAsia="en-US"/>
        </w:rPr>
        <w:t>20</w:t>
      </w:r>
      <w:r w:rsidRPr="00A746CB">
        <w:rPr>
          <w:rFonts w:eastAsia="Times New Roman"/>
          <w:bCs/>
          <w:color w:val="231F20"/>
          <w:szCs w:val="23"/>
          <w:lang w:eastAsia="en-US"/>
        </w:rPr>
        <w:t>, after the start of the Messinian at ca. 7.25 Ma</w:t>
      </w:r>
      <w:r w:rsidR="00BB5BA0">
        <w:rPr>
          <w:rFonts w:eastAsia="Times New Roman"/>
          <w:bCs/>
          <w:color w:val="231F20"/>
          <w:szCs w:val="23"/>
          <w:lang w:eastAsia="en-US"/>
        </w:rPr>
        <w:t xml:space="preserve">, </w:t>
      </w:r>
      <w:r w:rsidR="007732F2">
        <w:rPr>
          <w:rFonts w:eastAsia="Times New Roman"/>
          <w:bCs/>
          <w:color w:val="231F20"/>
          <w:szCs w:val="23"/>
          <w:lang w:eastAsia="en-US"/>
        </w:rPr>
        <w:t xml:space="preserve">and </w:t>
      </w:r>
      <w:r w:rsidRPr="00A746CB">
        <w:rPr>
          <w:rFonts w:eastAsia="Times New Roman"/>
          <w:bCs/>
          <w:color w:val="231F20"/>
          <w:szCs w:val="23"/>
          <w:lang w:eastAsia="en-US"/>
        </w:rPr>
        <w:t xml:space="preserve">ended </w:t>
      </w:r>
      <w:r w:rsidR="00BB5BA0">
        <w:rPr>
          <w:rFonts w:eastAsia="Times New Roman"/>
          <w:bCs/>
          <w:color w:val="231F20"/>
          <w:szCs w:val="23"/>
          <w:lang w:eastAsia="en-US"/>
        </w:rPr>
        <w:t>at</w:t>
      </w:r>
      <w:r w:rsidRPr="00A746CB">
        <w:rPr>
          <w:rFonts w:eastAsia="Times New Roman"/>
          <w:bCs/>
          <w:color w:val="231F20"/>
          <w:szCs w:val="23"/>
          <w:lang w:eastAsia="en-US"/>
        </w:rPr>
        <w:t xml:space="preserve"> 5.33 Ma</w:t>
      </w:r>
      <w:r w:rsidR="005368B2">
        <w:rPr>
          <w:rFonts w:eastAsia="Times New Roman"/>
          <w:b/>
          <w:bCs/>
          <w:color w:val="0070C0"/>
          <w:szCs w:val="23"/>
          <w:vertAlign w:val="superscript"/>
          <w:lang w:eastAsia="en-US"/>
        </w:rPr>
        <w:t>21</w:t>
      </w:r>
      <w:r w:rsidRPr="00A746CB">
        <w:rPr>
          <w:rFonts w:eastAsia="Times New Roman"/>
          <w:bCs/>
          <w:color w:val="231F20"/>
          <w:szCs w:val="23"/>
          <w:lang w:eastAsia="en-US"/>
        </w:rPr>
        <w:t xml:space="preserve"> (start of the Pliocene). </w:t>
      </w:r>
      <w:r w:rsidR="00BB5BA0">
        <w:rPr>
          <w:rFonts w:eastAsia="Times New Roman"/>
          <w:bCs/>
          <w:color w:val="231F20"/>
          <w:szCs w:val="23"/>
          <w:lang w:eastAsia="en-US"/>
        </w:rPr>
        <w:t>T</w:t>
      </w:r>
      <w:r w:rsidRPr="00A746CB">
        <w:rPr>
          <w:szCs w:val="23"/>
        </w:rPr>
        <w:t>h</w:t>
      </w:r>
      <w:r w:rsidR="007732F2">
        <w:rPr>
          <w:szCs w:val="23"/>
        </w:rPr>
        <w:t>us,</w:t>
      </w:r>
      <w:r w:rsidRPr="00A746CB">
        <w:rPr>
          <w:szCs w:val="23"/>
        </w:rPr>
        <w:t xml:space="preserve"> </w:t>
      </w:r>
      <w:r w:rsidR="007732F2">
        <w:rPr>
          <w:szCs w:val="23"/>
        </w:rPr>
        <w:t xml:space="preserve">the </w:t>
      </w:r>
      <w:r w:rsidR="007732F2" w:rsidRPr="00A746CB">
        <w:rPr>
          <w:szCs w:val="23"/>
        </w:rPr>
        <w:t xml:space="preserve">Vavilov </w:t>
      </w:r>
      <w:r w:rsidR="007732F2">
        <w:rPr>
          <w:szCs w:val="23"/>
        </w:rPr>
        <w:t>opening</w:t>
      </w:r>
      <w:r w:rsidRPr="00A746CB">
        <w:rPr>
          <w:szCs w:val="23"/>
        </w:rPr>
        <w:t xml:space="preserve"> </w:t>
      </w:r>
      <w:r w:rsidR="005A269B" w:rsidRPr="00A746CB">
        <w:rPr>
          <w:szCs w:val="23"/>
        </w:rPr>
        <w:t>is older than</w:t>
      </w:r>
      <w:r w:rsidRPr="00A746CB">
        <w:rPr>
          <w:szCs w:val="23"/>
        </w:rPr>
        <w:t xml:space="preserve"> the evaporitic </w:t>
      </w:r>
      <w:r w:rsidR="00DC5E86" w:rsidRPr="00A746CB">
        <w:rPr>
          <w:szCs w:val="23"/>
        </w:rPr>
        <w:t>event</w:t>
      </w:r>
      <w:r w:rsidRPr="00A746CB">
        <w:rPr>
          <w:szCs w:val="23"/>
        </w:rPr>
        <w:t xml:space="preserve">. </w:t>
      </w:r>
      <w:r w:rsidR="00E80607" w:rsidRPr="00A746CB">
        <w:rPr>
          <w:szCs w:val="23"/>
        </w:rPr>
        <w:t>The absence of evaporite</w:t>
      </w:r>
      <w:r w:rsidR="00C9038D">
        <w:rPr>
          <w:szCs w:val="23"/>
        </w:rPr>
        <w:t>s</w:t>
      </w:r>
      <w:r w:rsidR="00E80607" w:rsidRPr="00A746CB">
        <w:rPr>
          <w:szCs w:val="23"/>
        </w:rPr>
        <w:t xml:space="preserve"> </w:t>
      </w:r>
      <w:r w:rsidR="00C9038D">
        <w:rPr>
          <w:szCs w:val="23"/>
        </w:rPr>
        <w:t>in</w:t>
      </w:r>
      <w:r w:rsidR="00C9038D" w:rsidRPr="00A746CB">
        <w:rPr>
          <w:szCs w:val="23"/>
        </w:rPr>
        <w:t xml:space="preserve"> the </w:t>
      </w:r>
      <w:r w:rsidR="00C9038D">
        <w:rPr>
          <w:szCs w:val="23"/>
        </w:rPr>
        <w:t>bathyal</w:t>
      </w:r>
      <w:r w:rsidR="00C9038D" w:rsidRPr="00A746CB">
        <w:rPr>
          <w:szCs w:val="23"/>
        </w:rPr>
        <w:t xml:space="preserve"> </w:t>
      </w:r>
      <w:r w:rsidR="00C9038D">
        <w:rPr>
          <w:szCs w:val="23"/>
        </w:rPr>
        <w:t xml:space="preserve">plain </w:t>
      </w:r>
      <w:r w:rsidR="00D80639" w:rsidRPr="00A746CB">
        <w:rPr>
          <w:szCs w:val="23"/>
        </w:rPr>
        <w:t xml:space="preserve">ought to </w:t>
      </w:r>
      <w:r w:rsidRPr="00A746CB">
        <w:rPr>
          <w:szCs w:val="23"/>
        </w:rPr>
        <w:t xml:space="preserve">reflect </w:t>
      </w:r>
      <w:r w:rsidR="00C9038D">
        <w:rPr>
          <w:szCs w:val="23"/>
        </w:rPr>
        <w:t>a</w:t>
      </w:r>
      <w:r w:rsidR="00D80639">
        <w:rPr>
          <w:szCs w:val="23"/>
        </w:rPr>
        <w:t xml:space="preserve"> </w:t>
      </w:r>
      <w:r w:rsidRPr="00A746CB">
        <w:rPr>
          <w:szCs w:val="23"/>
        </w:rPr>
        <w:t>shallow waterdepth</w:t>
      </w:r>
      <w:r w:rsidR="005A269B" w:rsidRPr="00A746CB">
        <w:rPr>
          <w:szCs w:val="23"/>
        </w:rPr>
        <w:t xml:space="preserve"> </w:t>
      </w:r>
      <w:r w:rsidR="00D80639">
        <w:rPr>
          <w:szCs w:val="23"/>
        </w:rPr>
        <w:t>which</w:t>
      </w:r>
      <w:r w:rsidRPr="00A746CB">
        <w:rPr>
          <w:szCs w:val="23"/>
        </w:rPr>
        <w:t xml:space="preserve"> impede</w:t>
      </w:r>
      <w:r w:rsidR="00D80639">
        <w:rPr>
          <w:szCs w:val="23"/>
        </w:rPr>
        <w:t>d</w:t>
      </w:r>
      <w:r w:rsidRPr="00A746CB">
        <w:rPr>
          <w:szCs w:val="23"/>
        </w:rPr>
        <w:t xml:space="preserve"> inflow </w:t>
      </w:r>
      <w:r w:rsidR="00D80639">
        <w:rPr>
          <w:szCs w:val="23"/>
        </w:rPr>
        <w:t>of</w:t>
      </w:r>
      <w:r w:rsidRPr="00A746CB">
        <w:rPr>
          <w:szCs w:val="23"/>
        </w:rPr>
        <w:t xml:space="preserve"> Atlantic </w:t>
      </w:r>
      <w:r w:rsidR="00D80639" w:rsidRPr="00A746CB">
        <w:rPr>
          <w:szCs w:val="23"/>
        </w:rPr>
        <w:t xml:space="preserve">water </w:t>
      </w:r>
      <w:r w:rsidRPr="00A746CB">
        <w:rPr>
          <w:szCs w:val="23"/>
        </w:rPr>
        <w:t>in suff</w:t>
      </w:r>
      <w:r w:rsidR="00B71A61" w:rsidRPr="00A746CB">
        <w:rPr>
          <w:szCs w:val="23"/>
        </w:rPr>
        <w:t xml:space="preserve">icient amount to form </w:t>
      </w:r>
      <w:r w:rsidR="00C9038D">
        <w:rPr>
          <w:szCs w:val="23"/>
        </w:rPr>
        <w:t xml:space="preserve">such deposits </w:t>
      </w:r>
      <w:r w:rsidR="00D80639" w:rsidRPr="00A746CB">
        <w:rPr>
          <w:szCs w:val="23"/>
        </w:rPr>
        <w:t>at the time of t</w:t>
      </w:r>
      <w:r w:rsidR="00D80639">
        <w:rPr>
          <w:szCs w:val="23"/>
        </w:rPr>
        <w:t>he salinity crisis</w:t>
      </w:r>
      <w:r w:rsidR="001406A8">
        <w:rPr>
          <w:szCs w:val="23"/>
        </w:rPr>
        <w:t>.</w:t>
      </w:r>
    </w:p>
    <w:p w:rsidR="00022D49" w:rsidRDefault="00D87860" w:rsidP="00EF0C31">
      <w:pPr>
        <w:spacing w:line="240" w:lineRule="auto"/>
        <w:ind w:firstLine="720"/>
        <w:rPr>
          <w:szCs w:val="23"/>
        </w:rPr>
      </w:pPr>
      <w:r w:rsidRPr="00A746CB">
        <w:rPr>
          <w:szCs w:val="23"/>
        </w:rPr>
        <w:t xml:space="preserve">In the southern part of the Vavilov plain (below the 40° parallel; Fig. </w:t>
      </w:r>
      <w:r w:rsidR="0073178C">
        <w:rPr>
          <w:szCs w:val="23"/>
        </w:rPr>
        <w:t>4</w:t>
      </w:r>
      <w:r w:rsidRPr="00A746CB">
        <w:rPr>
          <w:szCs w:val="23"/>
        </w:rPr>
        <w:t>), t</w:t>
      </w:r>
      <w:r w:rsidR="00022D49" w:rsidRPr="00A746CB">
        <w:rPr>
          <w:szCs w:val="23"/>
        </w:rPr>
        <w:t xml:space="preserve">he </w:t>
      </w:r>
      <w:r w:rsidRPr="00A746CB">
        <w:rPr>
          <w:szCs w:val="23"/>
        </w:rPr>
        <w:t xml:space="preserve">W-E trending </w:t>
      </w:r>
      <w:r w:rsidR="00D80639">
        <w:rPr>
          <w:szCs w:val="23"/>
        </w:rPr>
        <w:t>lithosphere stretching w</w:t>
      </w:r>
      <w:r w:rsidR="00022D49" w:rsidRPr="00A746CB">
        <w:rPr>
          <w:szCs w:val="23"/>
        </w:rPr>
        <w:t xml:space="preserve">as probably stronger than in the northern part. In </w:t>
      </w:r>
      <w:r w:rsidRPr="00A746CB">
        <w:rPr>
          <w:szCs w:val="23"/>
        </w:rPr>
        <w:t xml:space="preserve">fact, in </w:t>
      </w:r>
      <w:r w:rsidR="00022D49" w:rsidRPr="00A746CB">
        <w:rPr>
          <w:szCs w:val="23"/>
        </w:rPr>
        <w:t>the plain eastern margin</w:t>
      </w:r>
      <w:r w:rsidRPr="00A746CB">
        <w:rPr>
          <w:szCs w:val="23"/>
        </w:rPr>
        <w:t>,</w:t>
      </w:r>
      <w:r w:rsidR="00022D49" w:rsidRPr="00A746CB">
        <w:rPr>
          <w:szCs w:val="23"/>
        </w:rPr>
        <w:t xml:space="preserve"> along the 13°E longitude</w:t>
      </w:r>
      <w:r w:rsidRPr="00A746CB">
        <w:rPr>
          <w:szCs w:val="23"/>
        </w:rPr>
        <w:t xml:space="preserve"> </w:t>
      </w:r>
      <w:r w:rsidR="00022D49" w:rsidRPr="00A746CB">
        <w:rPr>
          <w:szCs w:val="23"/>
        </w:rPr>
        <w:t>the presence of oceanic crust at site DSDP 373 (MORB-like basalt) and continental crust in the Flavio Gioia seamount suggests diverse intensity of lithosphere stretching.</w:t>
      </w:r>
      <w:r w:rsidR="00DB2C6F" w:rsidRPr="00A746CB">
        <w:rPr>
          <w:szCs w:val="23"/>
        </w:rPr>
        <w:t xml:space="preserve"> </w:t>
      </w:r>
      <w:r w:rsidR="00396FD9">
        <w:rPr>
          <w:szCs w:val="23"/>
        </w:rPr>
        <w:t>T</w:t>
      </w:r>
      <w:r w:rsidR="00022D49" w:rsidRPr="00A746CB">
        <w:rPr>
          <w:szCs w:val="23"/>
        </w:rPr>
        <w:t xml:space="preserve">he interactions among faulting and magmatism showed clearly diverse characteristics in the south and north part of the Tyrrhenian basin. The strong extensional deformation of the south Tyrrhenian (e.g. simple shear Wernicke model) was a result of east-dipping low-angle detachment faulting </w:t>
      </w:r>
      <w:r w:rsidR="006523E3">
        <w:rPr>
          <w:b/>
          <w:color w:val="0070C0"/>
          <w:szCs w:val="23"/>
          <w:vertAlign w:val="superscript"/>
        </w:rPr>
        <w:t>6, 17</w:t>
      </w:r>
      <w:r w:rsidR="00022D49" w:rsidRPr="00A746CB">
        <w:rPr>
          <w:szCs w:val="23"/>
        </w:rPr>
        <w:t xml:space="preserve">. Hyperextension affected </w:t>
      </w:r>
      <w:r w:rsidR="00396FD9">
        <w:rPr>
          <w:szCs w:val="23"/>
        </w:rPr>
        <w:t xml:space="preserve">both </w:t>
      </w:r>
      <w:r w:rsidR="00022D49" w:rsidRPr="00A746CB">
        <w:rPr>
          <w:szCs w:val="23"/>
        </w:rPr>
        <w:t xml:space="preserve">the </w:t>
      </w:r>
      <w:r w:rsidR="00396FD9" w:rsidRPr="00A746CB">
        <w:rPr>
          <w:szCs w:val="23"/>
        </w:rPr>
        <w:t>OAA</w:t>
      </w:r>
      <w:r w:rsidR="00396FD9">
        <w:rPr>
          <w:szCs w:val="23"/>
        </w:rPr>
        <w:t>,</w:t>
      </w:r>
      <w:r w:rsidR="00396FD9" w:rsidRPr="00A746CB">
        <w:rPr>
          <w:szCs w:val="23"/>
        </w:rPr>
        <w:t xml:space="preserve"> </w:t>
      </w:r>
      <w:r w:rsidR="00396FD9">
        <w:rPr>
          <w:szCs w:val="23"/>
        </w:rPr>
        <w:t>where</w:t>
      </w:r>
      <w:r w:rsidR="00396FD9" w:rsidRPr="00A746CB">
        <w:rPr>
          <w:szCs w:val="23"/>
        </w:rPr>
        <w:t xml:space="preserve"> </w:t>
      </w:r>
      <w:r w:rsidR="00890182">
        <w:rPr>
          <w:szCs w:val="23"/>
        </w:rPr>
        <w:t>Vavilov</w:t>
      </w:r>
      <w:r w:rsidR="00396FD9" w:rsidRPr="00A746CB">
        <w:rPr>
          <w:szCs w:val="23"/>
        </w:rPr>
        <w:t xml:space="preserve"> oceanic lithosphere</w:t>
      </w:r>
      <w:r w:rsidR="00396FD9" w:rsidRPr="00396FD9">
        <w:rPr>
          <w:szCs w:val="23"/>
        </w:rPr>
        <w:t xml:space="preserve"> </w:t>
      </w:r>
      <w:r w:rsidR="00890182">
        <w:rPr>
          <w:szCs w:val="23"/>
        </w:rPr>
        <w:t>is</w:t>
      </w:r>
      <w:r w:rsidR="00396FD9">
        <w:rPr>
          <w:szCs w:val="23"/>
        </w:rPr>
        <w:t xml:space="preserve"> </w:t>
      </w:r>
      <w:r w:rsidR="00396FD9" w:rsidRPr="00A746CB">
        <w:rPr>
          <w:szCs w:val="23"/>
        </w:rPr>
        <w:t>emplace</w:t>
      </w:r>
      <w:r w:rsidR="00396FD9">
        <w:rPr>
          <w:szCs w:val="23"/>
        </w:rPr>
        <w:t>d,</w:t>
      </w:r>
      <w:r w:rsidR="00396FD9" w:rsidRPr="00A746CB">
        <w:rPr>
          <w:szCs w:val="23"/>
        </w:rPr>
        <w:t xml:space="preserve"> </w:t>
      </w:r>
      <w:r w:rsidR="00396FD9">
        <w:rPr>
          <w:szCs w:val="23"/>
        </w:rPr>
        <w:t xml:space="preserve">and </w:t>
      </w:r>
      <w:r w:rsidR="00396FD9" w:rsidRPr="00A746CB">
        <w:rPr>
          <w:szCs w:val="23"/>
        </w:rPr>
        <w:t xml:space="preserve">the adjacent </w:t>
      </w:r>
      <w:r w:rsidR="00396FD9">
        <w:rPr>
          <w:szCs w:val="23"/>
        </w:rPr>
        <w:t xml:space="preserve">submerged </w:t>
      </w:r>
      <w:r w:rsidR="00022D49" w:rsidRPr="00A746CB">
        <w:rPr>
          <w:szCs w:val="23"/>
        </w:rPr>
        <w:t xml:space="preserve">continental </w:t>
      </w:r>
      <w:r w:rsidR="00396FD9" w:rsidRPr="00A746CB">
        <w:rPr>
          <w:szCs w:val="23"/>
        </w:rPr>
        <w:t xml:space="preserve">margin </w:t>
      </w:r>
      <w:r w:rsidR="00022D49" w:rsidRPr="00A746CB">
        <w:rPr>
          <w:szCs w:val="23"/>
        </w:rPr>
        <w:t xml:space="preserve">of </w:t>
      </w:r>
      <w:r w:rsidR="00396FD9" w:rsidRPr="00A746CB">
        <w:rPr>
          <w:szCs w:val="23"/>
        </w:rPr>
        <w:t xml:space="preserve">Hercynian </w:t>
      </w:r>
      <w:r w:rsidR="00022D49" w:rsidRPr="00A746CB">
        <w:rPr>
          <w:szCs w:val="23"/>
        </w:rPr>
        <w:t xml:space="preserve">Sardinia. </w:t>
      </w:r>
      <w:r w:rsidR="0023527F">
        <w:rPr>
          <w:szCs w:val="23"/>
        </w:rPr>
        <w:t>In t</w:t>
      </w:r>
      <w:r w:rsidR="00890182" w:rsidRPr="00A746CB">
        <w:rPr>
          <w:szCs w:val="23"/>
        </w:rPr>
        <w:t xml:space="preserve">he Vavilov </w:t>
      </w:r>
      <w:r w:rsidR="00890182">
        <w:rPr>
          <w:szCs w:val="23"/>
        </w:rPr>
        <w:t>plain</w:t>
      </w:r>
      <w:r w:rsidR="00890182" w:rsidRPr="00A746CB">
        <w:rPr>
          <w:szCs w:val="23"/>
        </w:rPr>
        <w:t xml:space="preserve"> </w:t>
      </w:r>
      <w:r w:rsidR="0023527F">
        <w:rPr>
          <w:szCs w:val="23"/>
        </w:rPr>
        <w:t>are found</w:t>
      </w:r>
      <w:r w:rsidR="00022D49" w:rsidRPr="00A746CB">
        <w:rPr>
          <w:szCs w:val="23"/>
        </w:rPr>
        <w:t xml:space="preserve"> mantle peridotites (ODP site 651) and MORB-type basalts (DSDP site 373</w:t>
      </w:r>
      <w:r w:rsidR="0073178C">
        <w:rPr>
          <w:szCs w:val="23"/>
        </w:rPr>
        <w:t>;</w:t>
      </w:r>
      <w:r w:rsidR="00890182" w:rsidRPr="00890182">
        <w:rPr>
          <w:szCs w:val="23"/>
        </w:rPr>
        <w:t xml:space="preserve"> </w:t>
      </w:r>
      <w:r w:rsidR="00890182">
        <w:rPr>
          <w:szCs w:val="23"/>
        </w:rPr>
        <w:t>eastern rim</w:t>
      </w:r>
      <w:r w:rsidR="00022D49" w:rsidRPr="00A746CB">
        <w:rPr>
          <w:szCs w:val="23"/>
        </w:rPr>
        <w:t>)</w:t>
      </w:r>
      <w:r w:rsidR="0023527F">
        <w:rPr>
          <w:szCs w:val="23"/>
        </w:rPr>
        <w:t>.</w:t>
      </w:r>
      <w:r w:rsidR="00022D49" w:rsidRPr="00A746CB">
        <w:rPr>
          <w:szCs w:val="23"/>
        </w:rPr>
        <w:t xml:space="preserve"> </w:t>
      </w:r>
      <w:r w:rsidR="0023527F">
        <w:rPr>
          <w:szCs w:val="23"/>
        </w:rPr>
        <w:t>In</w:t>
      </w:r>
      <w:r w:rsidR="00022D49" w:rsidRPr="00A746CB">
        <w:rPr>
          <w:szCs w:val="23"/>
        </w:rPr>
        <w:t xml:space="preserve"> </w:t>
      </w:r>
      <w:r w:rsidR="00890182" w:rsidRPr="00A746CB">
        <w:rPr>
          <w:szCs w:val="23"/>
        </w:rPr>
        <w:t xml:space="preserve">the Sardinia margin </w:t>
      </w:r>
      <w:r w:rsidR="00890182">
        <w:rPr>
          <w:szCs w:val="23"/>
        </w:rPr>
        <w:t>volcanism</w:t>
      </w:r>
      <w:r w:rsidR="00890182" w:rsidRPr="00890182">
        <w:rPr>
          <w:szCs w:val="23"/>
        </w:rPr>
        <w:t xml:space="preserve"> </w:t>
      </w:r>
      <w:r w:rsidR="0023527F">
        <w:rPr>
          <w:szCs w:val="23"/>
        </w:rPr>
        <w:t xml:space="preserve">is </w:t>
      </w:r>
      <w:r w:rsidR="00890182" w:rsidRPr="00A746CB">
        <w:rPr>
          <w:szCs w:val="23"/>
        </w:rPr>
        <w:t>absen</w:t>
      </w:r>
      <w:r w:rsidR="0023527F">
        <w:rPr>
          <w:szCs w:val="23"/>
        </w:rPr>
        <w:t>t</w:t>
      </w:r>
      <w:r w:rsidR="00022D49" w:rsidRPr="00A746CB">
        <w:rPr>
          <w:szCs w:val="23"/>
        </w:rPr>
        <w:t xml:space="preserve">. </w:t>
      </w:r>
      <w:r w:rsidR="0023527F">
        <w:rPr>
          <w:szCs w:val="23"/>
        </w:rPr>
        <w:t>N</w:t>
      </w:r>
      <w:r w:rsidR="00022D49" w:rsidRPr="00A746CB">
        <w:rPr>
          <w:szCs w:val="23"/>
        </w:rPr>
        <w:t>orth of the 41° parallel lineation zone, 8 - 6 Ma old granitoid plutonism extend</w:t>
      </w:r>
      <w:r w:rsidR="0023527F">
        <w:rPr>
          <w:szCs w:val="23"/>
        </w:rPr>
        <w:t>s</w:t>
      </w:r>
      <w:r w:rsidR="00022D49" w:rsidRPr="00A746CB">
        <w:rPr>
          <w:szCs w:val="23"/>
        </w:rPr>
        <w:t xml:space="preserve"> from </w:t>
      </w:r>
      <w:r w:rsidR="0023527F" w:rsidRPr="00A746CB">
        <w:rPr>
          <w:szCs w:val="23"/>
        </w:rPr>
        <w:t xml:space="preserve">the submerged Vercelli seamount </w:t>
      </w:r>
      <w:r w:rsidR="0023527F">
        <w:rPr>
          <w:szCs w:val="23"/>
        </w:rPr>
        <w:t xml:space="preserve">and </w:t>
      </w:r>
      <w:r w:rsidR="0023527F" w:rsidRPr="00A746CB">
        <w:rPr>
          <w:szCs w:val="23"/>
        </w:rPr>
        <w:t xml:space="preserve">Etruschi ridge </w:t>
      </w:r>
      <w:r w:rsidR="0023527F">
        <w:rPr>
          <w:szCs w:val="23"/>
        </w:rPr>
        <w:t xml:space="preserve">to </w:t>
      </w:r>
      <w:r w:rsidR="00022D49" w:rsidRPr="00A746CB">
        <w:rPr>
          <w:szCs w:val="23"/>
        </w:rPr>
        <w:t>the island</w:t>
      </w:r>
      <w:r w:rsidR="0023527F">
        <w:rPr>
          <w:szCs w:val="23"/>
        </w:rPr>
        <w:t>s</w:t>
      </w:r>
      <w:r w:rsidR="00022D49" w:rsidRPr="00A746CB">
        <w:rPr>
          <w:szCs w:val="23"/>
        </w:rPr>
        <w:t xml:space="preserve"> of </w:t>
      </w:r>
      <w:r w:rsidR="0023527F">
        <w:rPr>
          <w:szCs w:val="23"/>
        </w:rPr>
        <w:t xml:space="preserve">Montecristo </w:t>
      </w:r>
      <w:r w:rsidR="0023527F" w:rsidRPr="00A746CB">
        <w:rPr>
          <w:szCs w:val="23"/>
        </w:rPr>
        <w:t xml:space="preserve">and </w:t>
      </w:r>
      <w:r w:rsidR="00022D49" w:rsidRPr="00A746CB">
        <w:rPr>
          <w:szCs w:val="23"/>
        </w:rPr>
        <w:t>Elba</w:t>
      </w:r>
      <w:r w:rsidR="00EB0235" w:rsidRPr="00EB0235">
        <w:rPr>
          <w:b/>
          <w:color w:val="0070C0"/>
          <w:szCs w:val="23"/>
          <w:vertAlign w:val="superscript"/>
        </w:rPr>
        <w:t>11</w:t>
      </w:r>
      <w:r w:rsidR="00022D49" w:rsidRPr="00A746CB">
        <w:rPr>
          <w:szCs w:val="23"/>
        </w:rPr>
        <w:t xml:space="preserve"> (Fig</w:t>
      </w:r>
      <w:r w:rsidR="0073178C">
        <w:rPr>
          <w:szCs w:val="23"/>
        </w:rPr>
        <w:t>s</w:t>
      </w:r>
      <w:r w:rsidR="00022D49" w:rsidRPr="00A746CB">
        <w:rPr>
          <w:szCs w:val="23"/>
        </w:rPr>
        <w:t xml:space="preserve">. </w:t>
      </w:r>
      <w:r w:rsidR="0073178C">
        <w:rPr>
          <w:szCs w:val="23"/>
        </w:rPr>
        <w:t>5, 6</w:t>
      </w:r>
      <w:r w:rsidR="00EB0235">
        <w:rPr>
          <w:szCs w:val="23"/>
        </w:rPr>
        <w:t>)</w:t>
      </w:r>
      <w:r w:rsidR="00022D49" w:rsidRPr="00A746CB">
        <w:rPr>
          <w:szCs w:val="23"/>
        </w:rPr>
        <w:t>. High-angle faulting accompanied moderate extension o</w:t>
      </w:r>
      <w:r w:rsidR="00EB0235">
        <w:rPr>
          <w:szCs w:val="23"/>
        </w:rPr>
        <w:t>f this continental lithosphere</w:t>
      </w:r>
      <w:r w:rsidR="00EB0235">
        <w:rPr>
          <w:b/>
          <w:color w:val="0070C0"/>
          <w:szCs w:val="23"/>
          <w:vertAlign w:val="superscript"/>
        </w:rPr>
        <w:t>22</w:t>
      </w:r>
      <w:r w:rsidR="00022D49" w:rsidRPr="00A746CB">
        <w:rPr>
          <w:szCs w:val="23"/>
        </w:rPr>
        <w:t xml:space="preserve">. </w:t>
      </w:r>
      <w:r w:rsidR="00E33013">
        <w:rPr>
          <w:szCs w:val="23"/>
        </w:rPr>
        <w:t>S</w:t>
      </w:r>
      <w:r w:rsidR="00022D49" w:rsidRPr="00A746CB">
        <w:rPr>
          <w:szCs w:val="23"/>
        </w:rPr>
        <w:t xml:space="preserve">trong igneous activity and moderate extensional tectonics (e.g. pure shear Wernicke model) contrast with the hyperextension and weak volcanism of the south Tyrrhenian “mature “ rift. </w:t>
      </w:r>
      <w:r w:rsidR="00E33013">
        <w:rPr>
          <w:szCs w:val="23"/>
        </w:rPr>
        <w:t xml:space="preserve">Overall, </w:t>
      </w:r>
      <w:r w:rsidR="008423E2">
        <w:rPr>
          <w:szCs w:val="23"/>
        </w:rPr>
        <w:t>low-angle detachment</w:t>
      </w:r>
      <w:r w:rsidR="0087082C" w:rsidRPr="0087082C">
        <w:rPr>
          <w:szCs w:val="23"/>
        </w:rPr>
        <w:t xml:space="preserve"> </w:t>
      </w:r>
      <w:r w:rsidR="0087082C" w:rsidRPr="00A746CB">
        <w:rPr>
          <w:szCs w:val="23"/>
        </w:rPr>
        <w:t>faulting</w:t>
      </w:r>
      <w:r w:rsidR="0087082C">
        <w:rPr>
          <w:szCs w:val="23"/>
        </w:rPr>
        <w:t xml:space="preserve"> </w:t>
      </w:r>
      <w:r w:rsidR="00E33013">
        <w:rPr>
          <w:szCs w:val="23"/>
        </w:rPr>
        <w:t xml:space="preserve">linked to </w:t>
      </w:r>
      <w:r w:rsidR="0087082C">
        <w:rPr>
          <w:szCs w:val="23"/>
        </w:rPr>
        <w:t>mantle peridotite exposure</w:t>
      </w:r>
      <w:r w:rsidR="008423E2">
        <w:rPr>
          <w:szCs w:val="23"/>
        </w:rPr>
        <w:t xml:space="preserve"> </w:t>
      </w:r>
      <w:r w:rsidR="00022D49" w:rsidRPr="00A746CB">
        <w:rPr>
          <w:szCs w:val="23"/>
        </w:rPr>
        <w:t xml:space="preserve">and </w:t>
      </w:r>
      <w:r w:rsidR="00E33013">
        <w:rPr>
          <w:szCs w:val="23"/>
        </w:rPr>
        <w:t xml:space="preserve">non-axial </w:t>
      </w:r>
      <w:r w:rsidR="00EF0C31" w:rsidRPr="00A746CB">
        <w:rPr>
          <w:szCs w:val="23"/>
        </w:rPr>
        <w:t>magma</w:t>
      </w:r>
      <w:r w:rsidR="00EF0C31">
        <w:rPr>
          <w:szCs w:val="23"/>
        </w:rPr>
        <w:t xml:space="preserve">-poor </w:t>
      </w:r>
      <w:r w:rsidR="00E33013">
        <w:rPr>
          <w:szCs w:val="23"/>
        </w:rPr>
        <w:t>volcanism</w:t>
      </w:r>
      <w:r w:rsidR="008423E2">
        <w:rPr>
          <w:szCs w:val="23"/>
        </w:rPr>
        <w:t xml:space="preserve"> of</w:t>
      </w:r>
      <w:r w:rsidR="00022D49" w:rsidRPr="00A746CB">
        <w:rPr>
          <w:szCs w:val="23"/>
        </w:rPr>
        <w:t xml:space="preserve"> the </w:t>
      </w:r>
      <w:r w:rsidR="00224F5B">
        <w:rPr>
          <w:szCs w:val="23"/>
        </w:rPr>
        <w:t>Vavilov plain, in the late Miocene,</w:t>
      </w:r>
      <w:r w:rsidR="00022D49" w:rsidRPr="00A746CB">
        <w:rPr>
          <w:szCs w:val="23"/>
        </w:rPr>
        <w:t xml:space="preserve"> </w:t>
      </w:r>
      <w:r w:rsidR="008423E2">
        <w:rPr>
          <w:szCs w:val="23"/>
        </w:rPr>
        <w:t xml:space="preserve">ought to </w:t>
      </w:r>
      <w:r w:rsidR="00EF0C31">
        <w:rPr>
          <w:szCs w:val="23"/>
        </w:rPr>
        <w:t>provide</w:t>
      </w:r>
      <w:r w:rsidR="00022D49" w:rsidRPr="00A746CB">
        <w:rPr>
          <w:szCs w:val="23"/>
        </w:rPr>
        <w:t xml:space="preserve"> </w:t>
      </w:r>
      <w:r w:rsidR="00794BC4">
        <w:rPr>
          <w:szCs w:val="23"/>
        </w:rPr>
        <w:t xml:space="preserve">useful </w:t>
      </w:r>
      <w:r w:rsidR="00EF0C31">
        <w:rPr>
          <w:szCs w:val="23"/>
        </w:rPr>
        <w:t xml:space="preserve">constraints </w:t>
      </w:r>
      <w:r w:rsidR="00794BC4">
        <w:rPr>
          <w:szCs w:val="23"/>
        </w:rPr>
        <w:t xml:space="preserve">for </w:t>
      </w:r>
      <w:r w:rsidR="00022D49" w:rsidRPr="00A746CB">
        <w:rPr>
          <w:szCs w:val="23"/>
        </w:rPr>
        <w:t>the ocean</w:t>
      </w:r>
      <w:r w:rsidR="00EF0C31">
        <w:rPr>
          <w:szCs w:val="23"/>
        </w:rPr>
        <w:t>ic opening</w:t>
      </w:r>
      <w:r w:rsidR="00EF0C31" w:rsidRPr="00EF0C31">
        <w:rPr>
          <w:szCs w:val="23"/>
        </w:rPr>
        <w:t xml:space="preserve"> </w:t>
      </w:r>
      <w:r w:rsidR="00EF0C31">
        <w:rPr>
          <w:szCs w:val="23"/>
        </w:rPr>
        <w:t>of the large continental</w:t>
      </w:r>
      <w:r w:rsidR="00EF0C31" w:rsidRPr="00A746CB">
        <w:rPr>
          <w:szCs w:val="23"/>
        </w:rPr>
        <w:t xml:space="preserve"> </w:t>
      </w:r>
      <w:r w:rsidR="00EF0C31">
        <w:rPr>
          <w:szCs w:val="23"/>
        </w:rPr>
        <w:t>margins</w:t>
      </w:r>
      <w:r w:rsidR="00C86AFB" w:rsidRPr="00C86AFB">
        <w:rPr>
          <w:b/>
          <w:color w:val="0070C0"/>
          <w:szCs w:val="23"/>
          <w:vertAlign w:val="superscript"/>
        </w:rPr>
        <w:t>23</w:t>
      </w:r>
      <w:r w:rsidR="00022D49" w:rsidRPr="00A746CB">
        <w:rPr>
          <w:szCs w:val="23"/>
        </w:rPr>
        <w:t xml:space="preserve">. Moving from north to south, the emplacement of granitoids and MORB-type basalts probably reflects increasing strength of lithosphere extension </w:t>
      </w:r>
      <w:r w:rsidR="008704E0" w:rsidRPr="00A746CB">
        <w:rPr>
          <w:szCs w:val="23"/>
        </w:rPr>
        <w:t>(Fig.</w:t>
      </w:r>
      <w:r w:rsidR="0073178C">
        <w:rPr>
          <w:szCs w:val="23"/>
        </w:rPr>
        <w:t>6</w:t>
      </w:r>
      <w:r w:rsidR="008704E0" w:rsidRPr="00A746CB">
        <w:rPr>
          <w:szCs w:val="23"/>
        </w:rPr>
        <w:t>)</w:t>
      </w:r>
      <w:r w:rsidR="001406A8">
        <w:rPr>
          <w:szCs w:val="23"/>
        </w:rPr>
        <w:t>.</w:t>
      </w:r>
      <w:r w:rsidR="00022D49" w:rsidRPr="00A746CB">
        <w:rPr>
          <w:szCs w:val="23"/>
        </w:rPr>
        <w:t xml:space="preserve"> </w:t>
      </w:r>
      <w:r w:rsidR="001406A8">
        <w:rPr>
          <w:szCs w:val="23"/>
        </w:rPr>
        <w:t>T</w:t>
      </w:r>
      <w:r w:rsidR="00022D49" w:rsidRPr="00A746CB">
        <w:rPr>
          <w:szCs w:val="23"/>
        </w:rPr>
        <w:t xml:space="preserve">he stretching of Tyrrhenian upper plate lithosphere </w:t>
      </w:r>
      <w:r w:rsidR="00822669">
        <w:rPr>
          <w:szCs w:val="23"/>
        </w:rPr>
        <w:t>seems to</w:t>
      </w:r>
      <w:r w:rsidR="00022D49" w:rsidRPr="00A746CB">
        <w:rPr>
          <w:szCs w:val="23"/>
        </w:rPr>
        <w:t xml:space="preserve"> mirror the diverse nature of the lower plate which subducted beneath the Apennines: the less subductable continental lithosphere of Adria passes to the cold, more subductable oceanic lithosphere of the Ionian seafloor</w:t>
      </w:r>
      <w:r w:rsidR="008704E0">
        <w:rPr>
          <w:b/>
          <w:color w:val="0070C0"/>
          <w:szCs w:val="23"/>
          <w:vertAlign w:val="superscript"/>
        </w:rPr>
        <w:t>22</w:t>
      </w:r>
      <w:r w:rsidR="00022D49" w:rsidRPr="00A746CB">
        <w:rPr>
          <w:szCs w:val="23"/>
        </w:rPr>
        <w:t>.</w:t>
      </w:r>
    </w:p>
    <w:p w:rsidR="00105EFB" w:rsidRDefault="00105EFB" w:rsidP="00D63C2A">
      <w:pPr>
        <w:spacing w:line="240" w:lineRule="auto"/>
        <w:rPr>
          <w:szCs w:val="23"/>
        </w:rPr>
      </w:pPr>
    </w:p>
    <w:p w:rsidR="00105EFB" w:rsidRDefault="00105EFB" w:rsidP="00D63C2A">
      <w:pPr>
        <w:spacing w:line="240" w:lineRule="auto"/>
        <w:rPr>
          <w:szCs w:val="23"/>
        </w:rPr>
      </w:pPr>
    </w:p>
    <w:p w:rsidR="00A451C4" w:rsidRPr="00A746CB" w:rsidRDefault="00A451C4" w:rsidP="00D63C2A">
      <w:pPr>
        <w:spacing w:line="240" w:lineRule="auto"/>
        <w:rPr>
          <w:i/>
          <w:shadow/>
          <w:szCs w:val="23"/>
          <w:u w:val="single"/>
        </w:rPr>
      </w:pPr>
      <w:r w:rsidRPr="00A746CB">
        <w:rPr>
          <w:i/>
          <w:shadow/>
          <w:szCs w:val="23"/>
          <w:u w:val="single"/>
        </w:rPr>
        <w:t>Late Pliocene (ca. 1.87 – 1.67</w:t>
      </w:r>
      <w:r w:rsidR="00A77974" w:rsidRPr="00A746CB">
        <w:rPr>
          <w:i/>
          <w:shadow/>
          <w:szCs w:val="23"/>
          <w:u w:val="single"/>
        </w:rPr>
        <w:t xml:space="preserve"> Ma)</w:t>
      </w:r>
    </w:p>
    <w:p w:rsidR="000E1037" w:rsidRDefault="00DB28A7" w:rsidP="00D63C2A">
      <w:pPr>
        <w:pStyle w:val="Paragrafoelenco"/>
        <w:spacing w:line="240" w:lineRule="auto"/>
        <w:ind w:left="0" w:firstLine="720"/>
        <w:rPr>
          <w:rFonts w:eastAsia="Times New Roman"/>
          <w:iCs/>
          <w:szCs w:val="23"/>
          <w:lang w:eastAsia="en-US"/>
        </w:rPr>
      </w:pPr>
      <w:r w:rsidRPr="00A746CB">
        <w:rPr>
          <w:szCs w:val="23"/>
        </w:rPr>
        <w:t>Betwe</w:t>
      </w:r>
      <w:r w:rsidR="00A451C4" w:rsidRPr="00A746CB">
        <w:rPr>
          <w:szCs w:val="23"/>
        </w:rPr>
        <w:t xml:space="preserve">en 1.87 and 1.67 Ma about the Olduvai chron, </w:t>
      </w:r>
      <w:r w:rsidR="000070D4" w:rsidRPr="00A746CB">
        <w:rPr>
          <w:szCs w:val="23"/>
        </w:rPr>
        <w:t>MORB-type basalt</w:t>
      </w:r>
      <w:r w:rsidR="00191449" w:rsidRPr="00A746CB">
        <w:rPr>
          <w:szCs w:val="23"/>
        </w:rPr>
        <w:t>s</w:t>
      </w:r>
      <w:r w:rsidR="000070D4" w:rsidRPr="00A746CB">
        <w:rPr>
          <w:szCs w:val="23"/>
        </w:rPr>
        <w:t xml:space="preserve"> w</w:t>
      </w:r>
      <w:r w:rsidR="00191449" w:rsidRPr="00A746CB">
        <w:rPr>
          <w:szCs w:val="23"/>
        </w:rPr>
        <w:t>ere</w:t>
      </w:r>
      <w:r w:rsidR="000070D4" w:rsidRPr="00A746CB">
        <w:rPr>
          <w:szCs w:val="23"/>
        </w:rPr>
        <w:t xml:space="preserve"> emplaced </w:t>
      </w:r>
      <w:r w:rsidR="00C9038D">
        <w:rPr>
          <w:szCs w:val="23"/>
        </w:rPr>
        <w:t>in the we</w:t>
      </w:r>
      <w:r w:rsidR="00A451C4" w:rsidRPr="00A746CB">
        <w:rPr>
          <w:szCs w:val="23"/>
        </w:rPr>
        <w:t xml:space="preserve">stern </w:t>
      </w:r>
      <w:r w:rsidR="00672F41">
        <w:rPr>
          <w:szCs w:val="23"/>
        </w:rPr>
        <w:t>rim</w:t>
      </w:r>
      <w:r w:rsidR="00A451C4" w:rsidRPr="00A746CB">
        <w:rPr>
          <w:szCs w:val="23"/>
        </w:rPr>
        <w:t xml:space="preserve"> of Marsili </w:t>
      </w:r>
      <w:r w:rsidR="00672F41">
        <w:rPr>
          <w:szCs w:val="23"/>
        </w:rPr>
        <w:t>plain</w:t>
      </w:r>
      <w:r w:rsidR="000070D4" w:rsidRPr="00A746CB">
        <w:rPr>
          <w:szCs w:val="23"/>
        </w:rPr>
        <w:t xml:space="preserve"> </w:t>
      </w:r>
      <w:r w:rsidR="008704E0">
        <w:rPr>
          <w:szCs w:val="23"/>
        </w:rPr>
        <w:t>(ODP site 650</w:t>
      </w:r>
      <w:r w:rsidR="00A451C4" w:rsidRPr="00A746CB">
        <w:rPr>
          <w:szCs w:val="23"/>
        </w:rPr>
        <w:t>)</w:t>
      </w:r>
      <w:r w:rsidR="0058586D" w:rsidRPr="008704E0">
        <w:rPr>
          <w:b/>
          <w:color w:val="0070C0"/>
          <w:szCs w:val="23"/>
          <w:vertAlign w:val="superscript"/>
        </w:rPr>
        <w:t>17</w:t>
      </w:r>
      <w:r w:rsidR="00A451C4" w:rsidRPr="00A746CB">
        <w:rPr>
          <w:szCs w:val="23"/>
        </w:rPr>
        <w:t xml:space="preserve">. </w:t>
      </w:r>
      <w:r w:rsidR="000E1037" w:rsidRPr="00A746CB">
        <w:rPr>
          <w:szCs w:val="23"/>
        </w:rPr>
        <w:t xml:space="preserve">The Tyrrhenian oceanic opening has been discontinuous. The intensity of extension and </w:t>
      </w:r>
      <w:r w:rsidR="00C9038D">
        <w:rPr>
          <w:szCs w:val="23"/>
        </w:rPr>
        <w:t>volcanism</w:t>
      </w:r>
      <w:r w:rsidR="000E1037" w:rsidRPr="00A746CB">
        <w:rPr>
          <w:szCs w:val="23"/>
        </w:rPr>
        <w:t xml:space="preserve"> varied in the course of time. </w:t>
      </w:r>
      <w:r w:rsidR="006D7128">
        <w:rPr>
          <w:szCs w:val="23"/>
        </w:rPr>
        <w:t>The late Tortonian</w:t>
      </w:r>
      <w:r w:rsidR="000E1037" w:rsidRPr="00A746CB">
        <w:rPr>
          <w:szCs w:val="23"/>
        </w:rPr>
        <w:t xml:space="preserve">-early Messinian and late Pliocene episodes </w:t>
      </w:r>
      <w:r w:rsidR="00672F41">
        <w:rPr>
          <w:szCs w:val="23"/>
        </w:rPr>
        <w:t xml:space="preserve">of the Vavilov and Marsili plains </w:t>
      </w:r>
      <w:r w:rsidR="006D7128">
        <w:rPr>
          <w:szCs w:val="23"/>
        </w:rPr>
        <w:t>have been characterized by</w:t>
      </w:r>
      <w:r w:rsidR="000E1037" w:rsidRPr="00A746CB">
        <w:rPr>
          <w:szCs w:val="23"/>
        </w:rPr>
        <w:t xml:space="preserve"> hyperextension and low-standing</w:t>
      </w:r>
      <w:r w:rsidR="006D7128">
        <w:rPr>
          <w:szCs w:val="23"/>
        </w:rPr>
        <w:t xml:space="preserve"> </w:t>
      </w:r>
      <w:r w:rsidR="00FD7591">
        <w:rPr>
          <w:szCs w:val="23"/>
        </w:rPr>
        <w:t>localized</w:t>
      </w:r>
      <w:r w:rsidR="006D7128">
        <w:rPr>
          <w:szCs w:val="23"/>
        </w:rPr>
        <w:t xml:space="preserve"> volcanism linked to round-shape magnetic anomaly.</w:t>
      </w:r>
      <w:r w:rsidR="000E1037" w:rsidRPr="00A746CB">
        <w:rPr>
          <w:szCs w:val="23"/>
        </w:rPr>
        <w:t xml:space="preserve"> </w:t>
      </w:r>
      <w:r w:rsidR="006D7128">
        <w:rPr>
          <w:szCs w:val="23"/>
        </w:rPr>
        <w:t>T</w:t>
      </w:r>
      <w:r w:rsidR="000E1037" w:rsidRPr="00A746CB">
        <w:rPr>
          <w:szCs w:val="23"/>
        </w:rPr>
        <w:t>he Pliocene and Quaternary episodes</w:t>
      </w:r>
      <w:r w:rsidR="007A0DC1">
        <w:rPr>
          <w:szCs w:val="23"/>
        </w:rPr>
        <w:t xml:space="preserve"> (see </w:t>
      </w:r>
      <w:r w:rsidR="007A0DC1" w:rsidRPr="003E00F6">
        <w:rPr>
          <w:i/>
          <w:szCs w:val="23"/>
        </w:rPr>
        <w:t xml:space="preserve">Supplementary </w:t>
      </w:r>
      <w:r w:rsidR="00FD7591">
        <w:rPr>
          <w:i/>
          <w:szCs w:val="23"/>
        </w:rPr>
        <w:t xml:space="preserve">Info </w:t>
      </w:r>
      <w:r w:rsidR="007A0DC1">
        <w:rPr>
          <w:i/>
          <w:szCs w:val="23"/>
        </w:rPr>
        <w:t>S</w:t>
      </w:r>
      <w:r w:rsidR="000A5FB2">
        <w:rPr>
          <w:i/>
          <w:szCs w:val="23"/>
        </w:rPr>
        <w:t>2</w:t>
      </w:r>
      <w:r w:rsidR="007A0DC1">
        <w:rPr>
          <w:szCs w:val="23"/>
        </w:rPr>
        <w:t>)</w:t>
      </w:r>
      <w:r w:rsidR="006D7128">
        <w:rPr>
          <w:szCs w:val="23"/>
        </w:rPr>
        <w:t>, on the contrary,</w:t>
      </w:r>
      <w:r w:rsidR="000E1037" w:rsidRPr="00A746CB">
        <w:rPr>
          <w:szCs w:val="23"/>
        </w:rPr>
        <w:t xml:space="preserve"> show minor extension and </w:t>
      </w:r>
      <w:r w:rsidR="00FD7591">
        <w:rPr>
          <w:szCs w:val="23"/>
        </w:rPr>
        <w:t>strong</w:t>
      </w:r>
      <w:r w:rsidR="006D7128">
        <w:rPr>
          <w:szCs w:val="23"/>
        </w:rPr>
        <w:t xml:space="preserve"> </w:t>
      </w:r>
      <w:r w:rsidR="006D7128" w:rsidRPr="00A746CB">
        <w:rPr>
          <w:szCs w:val="23"/>
        </w:rPr>
        <w:t>high-standing</w:t>
      </w:r>
      <w:r w:rsidR="006D7128">
        <w:rPr>
          <w:szCs w:val="23"/>
        </w:rPr>
        <w:t xml:space="preserve"> volcanism</w:t>
      </w:r>
      <w:r w:rsidR="00FD7591">
        <w:rPr>
          <w:szCs w:val="23"/>
        </w:rPr>
        <w:t>,</w:t>
      </w:r>
      <w:r w:rsidR="006D7128">
        <w:rPr>
          <w:szCs w:val="23"/>
        </w:rPr>
        <w:t xml:space="preserve"> </w:t>
      </w:r>
      <w:r w:rsidR="00862CDE">
        <w:rPr>
          <w:szCs w:val="23"/>
        </w:rPr>
        <w:t>and</w:t>
      </w:r>
      <w:r w:rsidR="006D7128">
        <w:rPr>
          <w:szCs w:val="23"/>
        </w:rPr>
        <w:t xml:space="preserve"> elongated magnetic patterns.</w:t>
      </w:r>
      <w:r w:rsidR="006D7128" w:rsidRPr="00A746CB">
        <w:rPr>
          <w:rFonts w:eastAsia="Times New Roman"/>
          <w:iCs/>
          <w:szCs w:val="23"/>
          <w:lang w:eastAsia="en-US"/>
        </w:rPr>
        <w:t xml:space="preserve"> </w:t>
      </w:r>
      <w:r w:rsidR="00142BD5">
        <w:rPr>
          <w:rFonts w:eastAsia="Times New Roman"/>
          <w:iCs/>
          <w:szCs w:val="23"/>
          <w:lang w:eastAsia="en-US"/>
        </w:rPr>
        <w:t>Overall, oceanic</w:t>
      </w:r>
      <w:r w:rsidR="00142BD5" w:rsidRPr="00A746CB">
        <w:rPr>
          <w:rFonts w:eastAsia="Times New Roman"/>
          <w:iCs/>
          <w:szCs w:val="23"/>
          <w:lang w:eastAsia="en-US"/>
        </w:rPr>
        <w:t xml:space="preserve"> </w:t>
      </w:r>
      <w:r w:rsidR="00672F41">
        <w:rPr>
          <w:rFonts w:eastAsia="Times New Roman"/>
          <w:iCs/>
          <w:szCs w:val="23"/>
          <w:lang w:eastAsia="en-US"/>
        </w:rPr>
        <w:t xml:space="preserve">opening </w:t>
      </w:r>
      <w:r w:rsidR="00862CDE">
        <w:rPr>
          <w:rFonts w:eastAsia="Times New Roman"/>
          <w:iCs/>
          <w:szCs w:val="23"/>
          <w:lang w:eastAsia="en-US"/>
        </w:rPr>
        <w:t xml:space="preserve">has been </w:t>
      </w:r>
      <w:r w:rsidR="00672F41">
        <w:rPr>
          <w:rFonts w:eastAsia="Times New Roman"/>
          <w:iCs/>
          <w:szCs w:val="23"/>
          <w:lang w:eastAsia="en-US"/>
        </w:rPr>
        <w:t>characterized by</w:t>
      </w:r>
      <w:r w:rsidR="00862CDE">
        <w:rPr>
          <w:rFonts w:eastAsia="Times New Roman"/>
          <w:iCs/>
          <w:szCs w:val="23"/>
          <w:lang w:eastAsia="en-US"/>
        </w:rPr>
        <w:t xml:space="preserve"> </w:t>
      </w:r>
      <w:r w:rsidR="00142BD5" w:rsidRPr="00A746CB">
        <w:rPr>
          <w:rFonts w:eastAsia="Times New Roman"/>
          <w:iCs/>
          <w:szCs w:val="23"/>
          <w:lang w:eastAsia="en-US"/>
        </w:rPr>
        <w:t>accretio</w:t>
      </w:r>
      <w:r w:rsidR="00142BD5">
        <w:rPr>
          <w:rFonts w:eastAsia="Times New Roman"/>
          <w:iCs/>
          <w:szCs w:val="23"/>
          <w:lang w:eastAsia="en-US"/>
        </w:rPr>
        <w:t>n of</w:t>
      </w:r>
      <w:r w:rsidR="00142BD5" w:rsidRPr="00A746CB">
        <w:rPr>
          <w:szCs w:val="23"/>
        </w:rPr>
        <w:t xml:space="preserve"> </w:t>
      </w:r>
      <w:r w:rsidR="00142BD5">
        <w:rPr>
          <w:rFonts w:eastAsia="Times New Roman"/>
          <w:iCs/>
          <w:szCs w:val="23"/>
          <w:lang w:eastAsia="en-US"/>
        </w:rPr>
        <w:t xml:space="preserve">alternating </w:t>
      </w:r>
      <w:r w:rsidR="00862CDE" w:rsidRPr="00A746CB">
        <w:rPr>
          <w:szCs w:val="23"/>
        </w:rPr>
        <w:t>horizontal</w:t>
      </w:r>
      <w:r w:rsidR="00862CDE" w:rsidRPr="00A746CB">
        <w:rPr>
          <w:iCs/>
          <w:szCs w:val="23"/>
        </w:rPr>
        <w:t xml:space="preserve"> </w:t>
      </w:r>
      <w:r w:rsidR="00862CDE">
        <w:rPr>
          <w:rFonts w:eastAsia="Times New Roman"/>
          <w:iCs/>
          <w:szCs w:val="23"/>
          <w:lang w:eastAsia="en-US"/>
        </w:rPr>
        <w:t>and v</w:t>
      </w:r>
      <w:r w:rsidR="000E1037" w:rsidRPr="00A746CB">
        <w:rPr>
          <w:rFonts w:eastAsia="Times New Roman"/>
          <w:iCs/>
          <w:szCs w:val="23"/>
          <w:lang w:eastAsia="en-US"/>
        </w:rPr>
        <w:t>ertical</w:t>
      </w:r>
      <w:r w:rsidR="00142BD5">
        <w:rPr>
          <w:rFonts w:eastAsia="Times New Roman"/>
          <w:iCs/>
          <w:szCs w:val="23"/>
          <w:lang w:eastAsia="en-US"/>
        </w:rPr>
        <w:t xml:space="preserve"> type accompanied by </w:t>
      </w:r>
      <w:r w:rsidR="000A5FB2">
        <w:rPr>
          <w:rFonts w:eastAsia="Times New Roman"/>
          <w:iCs/>
          <w:szCs w:val="23"/>
          <w:lang w:eastAsia="en-US"/>
        </w:rPr>
        <w:t xml:space="preserve">eruption of </w:t>
      </w:r>
      <w:r w:rsidR="00142BD5">
        <w:rPr>
          <w:rFonts w:eastAsia="Times New Roman"/>
          <w:iCs/>
          <w:szCs w:val="23"/>
          <w:lang w:eastAsia="en-US"/>
        </w:rPr>
        <w:t>deep-seated and high-standing volcan</w:t>
      </w:r>
      <w:r w:rsidR="000A5FB2">
        <w:rPr>
          <w:rFonts w:eastAsia="Times New Roman"/>
          <w:iCs/>
          <w:szCs w:val="23"/>
          <w:lang w:eastAsia="en-US"/>
        </w:rPr>
        <w:t>ics</w:t>
      </w:r>
      <w:r w:rsidR="002A39A7">
        <w:rPr>
          <w:rFonts w:eastAsia="Times New Roman"/>
          <w:iCs/>
          <w:szCs w:val="23"/>
          <w:lang w:eastAsia="en-US"/>
        </w:rPr>
        <w:t>, respectively</w:t>
      </w:r>
      <w:r w:rsidR="00862CDE">
        <w:rPr>
          <w:iCs/>
          <w:szCs w:val="23"/>
        </w:rPr>
        <w:t>.</w:t>
      </w:r>
    </w:p>
    <w:p w:rsidR="004109B1" w:rsidRPr="00A746CB" w:rsidRDefault="004109B1" w:rsidP="00D63C2A">
      <w:pPr>
        <w:pStyle w:val="Paragrafoelenco"/>
        <w:spacing w:line="240" w:lineRule="auto"/>
        <w:ind w:left="0" w:firstLine="720"/>
        <w:rPr>
          <w:szCs w:val="23"/>
        </w:rPr>
      </w:pPr>
    </w:p>
    <w:p w:rsidR="003429A0" w:rsidRDefault="003429A0" w:rsidP="004109B1">
      <w:pPr>
        <w:spacing w:line="240" w:lineRule="auto"/>
        <w:rPr>
          <w:b/>
          <w:szCs w:val="23"/>
        </w:rPr>
      </w:pPr>
      <w:r w:rsidRPr="004109B1">
        <w:rPr>
          <w:b/>
          <w:szCs w:val="23"/>
        </w:rPr>
        <w:t xml:space="preserve">Peri-basinal magmas </w:t>
      </w:r>
      <w:r w:rsidR="00822DE7" w:rsidRPr="004109B1">
        <w:rPr>
          <w:b/>
          <w:szCs w:val="23"/>
        </w:rPr>
        <w:t>coeval with</w:t>
      </w:r>
      <w:r w:rsidR="005142B4" w:rsidRPr="004109B1">
        <w:rPr>
          <w:b/>
          <w:szCs w:val="23"/>
        </w:rPr>
        <w:t xml:space="preserve"> </w:t>
      </w:r>
      <w:r w:rsidR="004109B1" w:rsidRPr="004109B1">
        <w:rPr>
          <w:b/>
          <w:szCs w:val="23"/>
        </w:rPr>
        <w:t xml:space="preserve">oceanic opening between </w:t>
      </w:r>
      <w:r w:rsidR="00822DE7" w:rsidRPr="004109B1">
        <w:rPr>
          <w:b/>
          <w:szCs w:val="23"/>
        </w:rPr>
        <w:t xml:space="preserve">20 </w:t>
      </w:r>
      <w:r w:rsidR="004109B1" w:rsidRPr="004109B1">
        <w:rPr>
          <w:b/>
          <w:szCs w:val="23"/>
        </w:rPr>
        <w:t>and</w:t>
      </w:r>
      <w:r w:rsidR="00822DE7" w:rsidRPr="004109B1">
        <w:rPr>
          <w:b/>
          <w:szCs w:val="23"/>
        </w:rPr>
        <w:t xml:space="preserve"> 16 Ma</w:t>
      </w:r>
      <w:r w:rsidR="004109B1" w:rsidRPr="004109B1">
        <w:rPr>
          <w:b/>
          <w:szCs w:val="23"/>
        </w:rPr>
        <w:t xml:space="preserve"> </w:t>
      </w:r>
    </w:p>
    <w:p w:rsidR="00351C20" w:rsidRPr="00351C20" w:rsidRDefault="00351C20" w:rsidP="004109B1">
      <w:pPr>
        <w:spacing w:line="240" w:lineRule="auto"/>
        <w:rPr>
          <w:szCs w:val="23"/>
        </w:rPr>
      </w:pPr>
    </w:p>
    <w:p w:rsidR="003429A0" w:rsidRPr="00A746CB" w:rsidRDefault="003429A0" w:rsidP="00D63C2A">
      <w:pPr>
        <w:spacing w:line="240" w:lineRule="auto"/>
        <w:rPr>
          <w:i/>
          <w:shadow/>
          <w:szCs w:val="23"/>
          <w:u w:val="single"/>
        </w:rPr>
      </w:pPr>
      <w:r w:rsidRPr="00A746CB">
        <w:rPr>
          <w:i/>
          <w:shadow/>
          <w:szCs w:val="23"/>
          <w:u w:val="single"/>
        </w:rPr>
        <w:t>European plate</w:t>
      </w:r>
    </w:p>
    <w:p w:rsidR="00BC3772" w:rsidRPr="00BC3772" w:rsidRDefault="00BC3772" w:rsidP="001911F2">
      <w:pPr>
        <w:pStyle w:val="Testonormale"/>
        <w:spacing w:line="240" w:lineRule="auto"/>
        <w:ind w:firstLine="709"/>
        <w:jc w:val="both"/>
        <w:rPr>
          <w:rFonts w:ascii="Times New Roman" w:hAnsi="Times New Roman" w:cs="Times New Roman"/>
          <w:sz w:val="24"/>
          <w:szCs w:val="23"/>
          <w:lang w:val="en-GB"/>
        </w:rPr>
      </w:pPr>
      <w:r w:rsidRPr="00BC3772">
        <w:rPr>
          <w:rFonts w:ascii="Times New Roman" w:hAnsi="Times New Roman"/>
          <w:sz w:val="24"/>
          <w:lang w:val="en-GB"/>
        </w:rPr>
        <w:t xml:space="preserve">Volcanics </w:t>
      </w:r>
      <w:r w:rsidR="00094F31">
        <w:rPr>
          <w:rFonts w:ascii="Times New Roman" w:hAnsi="Times New Roman"/>
          <w:sz w:val="24"/>
          <w:lang w:val="en-GB"/>
        </w:rPr>
        <w:t xml:space="preserve">showing composition from basalt </w:t>
      </w:r>
      <w:r w:rsidR="00DE4666">
        <w:rPr>
          <w:rFonts w:ascii="Times New Roman" w:hAnsi="Times New Roman"/>
          <w:sz w:val="24"/>
          <w:lang w:val="en-GB"/>
        </w:rPr>
        <w:t xml:space="preserve">and </w:t>
      </w:r>
      <w:r w:rsidR="00094F31">
        <w:rPr>
          <w:rFonts w:ascii="Times New Roman" w:hAnsi="Times New Roman"/>
          <w:sz w:val="24"/>
          <w:lang w:val="en-GB"/>
        </w:rPr>
        <w:t xml:space="preserve">andesite </w:t>
      </w:r>
      <w:r w:rsidR="00DE4666">
        <w:rPr>
          <w:rFonts w:ascii="Times New Roman" w:hAnsi="Times New Roman"/>
          <w:sz w:val="24"/>
          <w:lang w:val="en-GB"/>
        </w:rPr>
        <w:t xml:space="preserve">to </w:t>
      </w:r>
      <w:r w:rsidR="00094F31">
        <w:rPr>
          <w:rFonts w:ascii="Times New Roman" w:hAnsi="Times New Roman"/>
          <w:sz w:val="24"/>
          <w:lang w:val="en-GB"/>
        </w:rPr>
        <w:t>ryolite</w:t>
      </w:r>
      <w:r w:rsidR="00DE4666">
        <w:rPr>
          <w:rFonts w:ascii="Times New Roman" w:hAnsi="Times New Roman"/>
          <w:sz w:val="24"/>
          <w:lang w:val="en-GB"/>
        </w:rPr>
        <w:t>,</w:t>
      </w:r>
      <w:r w:rsidR="00094F31">
        <w:rPr>
          <w:rFonts w:ascii="Times New Roman" w:hAnsi="Times New Roman"/>
          <w:sz w:val="24"/>
          <w:lang w:val="en-GB"/>
        </w:rPr>
        <w:t xml:space="preserve"> and</w:t>
      </w:r>
      <w:r w:rsidRPr="00BC3772">
        <w:rPr>
          <w:rFonts w:ascii="Times New Roman" w:hAnsi="Times New Roman"/>
          <w:sz w:val="24"/>
          <w:lang w:val="en-GB"/>
        </w:rPr>
        <w:t xml:space="preserve"> </w:t>
      </w:r>
      <w:r w:rsidRPr="00BC3772">
        <w:rPr>
          <w:rFonts w:ascii="Times New Roman" w:hAnsi="Times New Roman" w:cs="Times New Roman"/>
          <w:sz w:val="24"/>
          <w:szCs w:val="23"/>
          <w:lang w:val="en-GB"/>
        </w:rPr>
        <w:t xml:space="preserve">K/Ar </w:t>
      </w:r>
      <w:r>
        <w:rPr>
          <w:rFonts w:ascii="Times New Roman" w:hAnsi="Times New Roman" w:cs="Times New Roman"/>
          <w:sz w:val="24"/>
          <w:szCs w:val="23"/>
          <w:lang w:val="en-GB"/>
        </w:rPr>
        <w:t>datings</w:t>
      </w:r>
      <w:r w:rsidRPr="00BC3772">
        <w:rPr>
          <w:rFonts w:ascii="Times New Roman" w:hAnsi="Times New Roman" w:cs="Times New Roman"/>
          <w:sz w:val="24"/>
          <w:szCs w:val="23"/>
          <w:lang w:val="en-GB"/>
        </w:rPr>
        <w:t xml:space="preserve"> between ca. 19.8 and 15.8 Ma </w:t>
      </w:r>
      <w:r w:rsidRPr="00BC3772">
        <w:rPr>
          <w:rFonts w:ascii="Times New Roman" w:hAnsi="Times New Roman"/>
          <w:sz w:val="24"/>
          <w:lang w:val="en-GB"/>
        </w:rPr>
        <w:t xml:space="preserve">occur in the graben of western Sardinia, in southern Corsica and </w:t>
      </w:r>
      <w:r w:rsidRPr="00BC3772">
        <w:rPr>
          <w:rFonts w:ascii="Times New Roman" w:hAnsi="Times New Roman" w:cs="Times New Roman"/>
          <w:sz w:val="24"/>
          <w:szCs w:val="23"/>
          <w:lang w:val="en-GB"/>
        </w:rPr>
        <w:t>Mallorca island</w:t>
      </w:r>
      <w:r w:rsidRPr="00BC3772">
        <w:rPr>
          <w:rFonts w:ascii="Times New Roman" w:hAnsi="Times New Roman"/>
          <w:sz w:val="24"/>
          <w:szCs w:val="23"/>
          <w:lang w:val="en-GB"/>
        </w:rPr>
        <w:t xml:space="preserve">. </w:t>
      </w:r>
      <w:r w:rsidRPr="00BC3772">
        <w:rPr>
          <w:rFonts w:ascii="Times New Roman" w:hAnsi="Times New Roman" w:cs="Times New Roman"/>
          <w:sz w:val="24"/>
          <w:szCs w:val="23"/>
          <w:lang w:val="en-GB"/>
        </w:rPr>
        <w:t xml:space="preserve">Literature geochemistry and age data </w:t>
      </w:r>
      <w:r w:rsidRPr="00BC3772">
        <w:rPr>
          <w:rFonts w:ascii="Times New Roman" w:hAnsi="Times New Roman"/>
          <w:sz w:val="24"/>
          <w:szCs w:val="23"/>
          <w:lang w:val="en-GB"/>
        </w:rPr>
        <w:t xml:space="preserve">of these rocks </w:t>
      </w:r>
      <w:r w:rsidR="00381F04">
        <w:rPr>
          <w:rFonts w:ascii="Times New Roman" w:hAnsi="Times New Roman" w:cs="Times New Roman"/>
          <w:sz w:val="24"/>
          <w:szCs w:val="24"/>
          <w:lang w:val="en-GB"/>
        </w:rPr>
        <w:t>are listed</w:t>
      </w:r>
      <w:r w:rsidRPr="00BC3772">
        <w:rPr>
          <w:rFonts w:ascii="Times New Roman" w:hAnsi="Times New Roman" w:cs="Times New Roman"/>
          <w:sz w:val="24"/>
          <w:szCs w:val="24"/>
          <w:lang w:val="en-GB"/>
        </w:rPr>
        <w:t xml:space="preserve"> </w:t>
      </w:r>
      <w:r w:rsidR="00140581">
        <w:rPr>
          <w:rFonts w:ascii="Times New Roman" w:hAnsi="Times New Roman" w:cs="Times New Roman"/>
          <w:sz w:val="24"/>
          <w:szCs w:val="24"/>
          <w:lang w:val="en-GB"/>
        </w:rPr>
        <w:t xml:space="preserve">in </w:t>
      </w:r>
      <w:r w:rsidRPr="006A7A10">
        <w:rPr>
          <w:rFonts w:ascii="Times New Roman" w:hAnsi="Times New Roman" w:cs="Times New Roman"/>
          <w:i/>
          <w:sz w:val="24"/>
          <w:szCs w:val="24"/>
          <w:lang w:val="en-GB"/>
        </w:rPr>
        <w:t xml:space="preserve">Supplementary </w:t>
      </w:r>
      <w:r w:rsidR="00381F04">
        <w:rPr>
          <w:rFonts w:ascii="Times New Roman" w:hAnsi="Times New Roman" w:cs="Times New Roman"/>
          <w:i/>
          <w:sz w:val="24"/>
          <w:szCs w:val="24"/>
          <w:lang w:val="en-GB"/>
        </w:rPr>
        <w:t>Table</w:t>
      </w:r>
      <w:r w:rsidRPr="006A7A10">
        <w:rPr>
          <w:rFonts w:ascii="Times New Roman" w:hAnsi="Times New Roman" w:cs="Times New Roman"/>
          <w:i/>
          <w:sz w:val="24"/>
          <w:szCs w:val="24"/>
          <w:lang w:val="en-GB"/>
        </w:rPr>
        <w:t xml:space="preserve"> S</w:t>
      </w:r>
      <w:r w:rsidR="00142BD5">
        <w:rPr>
          <w:rFonts w:ascii="Times New Roman" w:hAnsi="Times New Roman" w:cs="Times New Roman"/>
          <w:i/>
          <w:sz w:val="24"/>
          <w:szCs w:val="24"/>
          <w:lang w:val="en-GB"/>
        </w:rPr>
        <w:t>4</w:t>
      </w:r>
      <w:r w:rsidR="00142BD5">
        <w:rPr>
          <w:rFonts w:ascii="Times New Roman" w:hAnsi="Times New Roman"/>
          <w:sz w:val="24"/>
          <w:lang w:val="en-GB"/>
        </w:rPr>
        <w:t>.</w:t>
      </w:r>
    </w:p>
    <w:p w:rsidR="003429A0" w:rsidRPr="00A746CB" w:rsidRDefault="003429A0" w:rsidP="00D63C2A">
      <w:pPr>
        <w:spacing w:line="240" w:lineRule="auto"/>
        <w:rPr>
          <w:i/>
          <w:shadow/>
          <w:szCs w:val="23"/>
          <w:u w:val="single"/>
        </w:rPr>
      </w:pPr>
      <w:r w:rsidRPr="00A746CB">
        <w:rPr>
          <w:i/>
          <w:shadow/>
          <w:szCs w:val="23"/>
          <w:u w:val="single"/>
        </w:rPr>
        <w:t xml:space="preserve">Mediterranean orogen of Alpine age </w:t>
      </w:r>
    </w:p>
    <w:p w:rsidR="00DE4666" w:rsidRDefault="003429A0" w:rsidP="00D63C2A">
      <w:pPr>
        <w:spacing w:line="240" w:lineRule="auto"/>
        <w:ind w:firstLine="720"/>
        <w:rPr>
          <w:szCs w:val="23"/>
        </w:rPr>
      </w:pPr>
      <w:r w:rsidRPr="00A746CB">
        <w:rPr>
          <w:szCs w:val="23"/>
        </w:rPr>
        <w:t>Dikes crop out in Malaga-Marbella (site 14, Betic region) in the form of W-E trending westwards translated bodies</w:t>
      </w:r>
      <w:r w:rsidR="00DE4666" w:rsidRPr="00DE4666">
        <w:rPr>
          <w:b/>
          <w:color w:val="0070C0"/>
          <w:szCs w:val="23"/>
          <w:vertAlign w:val="superscript"/>
        </w:rPr>
        <w:t>24</w:t>
      </w:r>
      <w:r w:rsidRPr="00A746CB">
        <w:rPr>
          <w:szCs w:val="23"/>
        </w:rPr>
        <w:t>. The rootless dike swarm composition, tholeiitic and transitional to calc-alkaline, ranges from low-K basaltic andesite to medium-K andesi</w:t>
      </w:r>
      <w:r w:rsidR="00BD3235" w:rsidRPr="00A746CB">
        <w:rPr>
          <w:szCs w:val="23"/>
        </w:rPr>
        <w:t>te (samples AM24 to FG22</w:t>
      </w:r>
      <w:r w:rsidR="0058586D">
        <w:rPr>
          <w:szCs w:val="23"/>
        </w:rPr>
        <w:t xml:space="preserve">; </w:t>
      </w:r>
      <w:r w:rsidR="0058586D" w:rsidRPr="0058586D">
        <w:rPr>
          <w:i/>
          <w:szCs w:val="23"/>
        </w:rPr>
        <w:t>Supplementary</w:t>
      </w:r>
      <w:r w:rsidR="004174B1">
        <w:rPr>
          <w:i/>
          <w:szCs w:val="23"/>
        </w:rPr>
        <w:t xml:space="preserve"> </w:t>
      </w:r>
      <w:r w:rsidR="004174B1">
        <w:rPr>
          <w:i/>
        </w:rPr>
        <w:t>Dataset S4</w:t>
      </w:r>
      <w:r w:rsidRPr="00A746CB">
        <w:rPr>
          <w:szCs w:val="23"/>
        </w:rPr>
        <w:t xml:space="preserve">). </w:t>
      </w:r>
      <w:r w:rsidR="00751EC8">
        <w:rPr>
          <w:szCs w:val="23"/>
        </w:rPr>
        <w:t>T</w:t>
      </w:r>
      <w:r w:rsidRPr="00A746CB">
        <w:rPr>
          <w:szCs w:val="23"/>
        </w:rPr>
        <w:t>he Malaga basaltic dikes</w:t>
      </w:r>
      <w:r w:rsidRPr="00A746CB">
        <w:rPr>
          <w:i/>
          <w:iCs/>
          <w:szCs w:val="23"/>
        </w:rPr>
        <w:t xml:space="preserve"> </w:t>
      </w:r>
      <w:r w:rsidR="00751EC8">
        <w:rPr>
          <w:szCs w:val="23"/>
        </w:rPr>
        <w:t xml:space="preserve">yielded </w:t>
      </w:r>
      <w:r w:rsidRPr="00A746CB">
        <w:rPr>
          <w:szCs w:val="23"/>
          <w:vertAlign w:val="superscript"/>
        </w:rPr>
        <w:t>40</w:t>
      </w:r>
      <w:r w:rsidRPr="00A746CB">
        <w:rPr>
          <w:szCs w:val="23"/>
        </w:rPr>
        <w:t>Ar/</w:t>
      </w:r>
      <w:r w:rsidRPr="00A746CB">
        <w:rPr>
          <w:szCs w:val="23"/>
          <w:vertAlign w:val="superscript"/>
        </w:rPr>
        <w:t>39</w:t>
      </w:r>
      <w:r w:rsidRPr="00A746CB">
        <w:rPr>
          <w:szCs w:val="23"/>
        </w:rPr>
        <w:t xml:space="preserve">Ar ages of 17.4, </w:t>
      </w:r>
      <w:r w:rsidR="00AE1607" w:rsidRPr="00A746CB">
        <w:rPr>
          <w:szCs w:val="23"/>
        </w:rPr>
        <w:t>17.7</w:t>
      </w:r>
      <w:r w:rsidR="00AE1607">
        <w:rPr>
          <w:szCs w:val="23"/>
        </w:rPr>
        <w:t>,</w:t>
      </w:r>
      <w:r w:rsidR="00AE1607" w:rsidRPr="00A746CB">
        <w:rPr>
          <w:szCs w:val="23"/>
        </w:rPr>
        <w:t xml:space="preserve"> </w:t>
      </w:r>
      <w:r w:rsidRPr="00A746CB">
        <w:rPr>
          <w:szCs w:val="23"/>
        </w:rPr>
        <w:t>19.8, 17.4</w:t>
      </w:r>
      <w:r w:rsidR="00AE1607">
        <w:rPr>
          <w:szCs w:val="23"/>
        </w:rPr>
        <w:t>,</w:t>
      </w:r>
      <w:r w:rsidRPr="00A746CB">
        <w:rPr>
          <w:szCs w:val="23"/>
        </w:rPr>
        <w:t xml:space="preserve"> </w:t>
      </w:r>
      <w:r w:rsidR="00AE1607" w:rsidRPr="00A746CB">
        <w:rPr>
          <w:szCs w:val="23"/>
        </w:rPr>
        <w:t xml:space="preserve">30.2 </w:t>
      </w:r>
      <w:r w:rsidR="00AE1607">
        <w:rPr>
          <w:szCs w:val="23"/>
        </w:rPr>
        <w:t xml:space="preserve">and </w:t>
      </w:r>
      <w:r w:rsidR="00AE1607" w:rsidRPr="00A746CB">
        <w:rPr>
          <w:szCs w:val="23"/>
        </w:rPr>
        <w:t xml:space="preserve">33.6 </w:t>
      </w:r>
      <w:r w:rsidRPr="00A746CB">
        <w:rPr>
          <w:szCs w:val="23"/>
        </w:rPr>
        <w:t xml:space="preserve">Ma </w:t>
      </w:r>
      <w:r w:rsidR="00751EC8" w:rsidRPr="00DE4666">
        <w:rPr>
          <w:b/>
          <w:color w:val="0070C0"/>
          <w:szCs w:val="23"/>
          <w:vertAlign w:val="superscript"/>
        </w:rPr>
        <w:t>24</w:t>
      </w:r>
      <w:r w:rsidR="00AE1607">
        <w:rPr>
          <w:b/>
          <w:color w:val="0070C0"/>
          <w:szCs w:val="23"/>
          <w:vertAlign w:val="superscript"/>
        </w:rPr>
        <w:t>, 25</w:t>
      </w:r>
      <w:r w:rsidRPr="00A746CB">
        <w:rPr>
          <w:szCs w:val="23"/>
        </w:rPr>
        <w:t xml:space="preserve">. Granite dike from the Malaga area (site 14; sample MI22), granite clast from ODP Hole 977 (site 15, sample 7646), diorite clast from Carboneras (site 10) and dacite from Mar Menor (site 17; sample </w:t>
      </w:r>
      <w:r w:rsidRPr="00A746CB">
        <w:rPr>
          <w:rFonts w:eastAsia="Times New Roman"/>
          <w:szCs w:val="23"/>
          <w:lang w:eastAsia="en-GB"/>
        </w:rPr>
        <w:t>MM2703</w:t>
      </w:r>
      <w:r w:rsidRPr="00A746CB">
        <w:rPr>
          <w:szCs w:val="23"/>
        </w:rPr>
        <w:t xml:space="preserve">) yielded </w:t>
      </w:r>
      <w:r w:rsidRPr="00A746CB">
        <w:rPr>
          <w:szCs w:val="23"/>
          <w:vertAlign w:val="superscript"/>
        </w:rPr>
        <w:t>40</w:t>
      </w:r>
      <w:r w:rsidRPr="00A746CB">
        <w:rPr>
          <w:szCs w:val="23"/>
        </w:rPr>
        <w:t>Ar/</w:t>
      </w:r>
      <w:r w:rsidRPr="00A746CB">
        <w:rPr>
          <w:szCs w:val="23"/>
          <w:vertAlign w:val="superscript"/>
        </w:rPr>
        <w:t>39</w:t>
      </w:r>
      <w:r w:rsidRPr="00A746CB">
        <w:rPr>
          <w:szCs w:val="23"/>
        </w:rPr>
        <w:t>Ar ages of 18.5, 17.6, 18.9 and 18.5 Ma, respectively</w:t>
      </w:r>
      <w:r w:rsidR="00553A35">
        <w:rPr>
          <w:b/>
          <w:color w:val="0070C0"/>
          <w:szCs w:val="23"/>
          <w:vertAlign w:val="superscript"/>
        </w:rPr>
        <w:t>24, 25, 26</w:t>
      </w:r>
      <w:r w:rsidRPr="00A746CB">
        <w:rPr>
          <w:szCs w:val="23"/>
        </w:rPr>
        <w:t>. Intrusive rocks from the Sierra Cabrera</w:t>
      </w:r>
      <w:r w:rsidR="000236AC">
        <w:rPr>
          <w:szCs w:val="23"/>
        </w:rPr>
        <w:t xml:space="preserve"> (site 16</w:t>
      </w:r>
      <w:r w:rsidR="000236AC" w:rsidRPr="00A746CB">
        <w:rPr>
          <w:szCs w:val="23"/>
        </w:rPr>
        <w:t>)</w:t>
      </w:r>
      <w:r w:rsidR="000236AC">
        <w:rPr>
          <w:szCs w:val="23"/>
        </w:rPr>
        <w:t xml:space="preserve"> </w:t>
      </w:r>
      <w:r w:rsidRPr="00A746CB">
        <w:rPr>
          <w:szCs w:val="23"/>
        </w:rPr>
        <w:t>yielded Rb/Sr dates of 20.4 and 18.8 Ma</w:t>
      </w:r>
      <w:r w:rsidR="000236AC" w:rsidRPr="00553A35">
        <w:rPr>
          <w:b/>
          <w:color w:val="0070C0"/>
          <w:szCs w:val="23"/>
          <w:vertAlign w:val="superscript"/>
        </w:rPr>
        <w:t>27</w:t>
      </w:r>
      <w:r w:rsidRPr="00A746CB">
        <w:rPr>
          <w:szCs w:val="23"/>
        </w:rPr>
        <w:t>. The K/Ar and Ar/Ar age spectrum between 19.8 and 17.4 Ma of Alboran-Betic magmatics appear</w:t>
      </w:r>
      <w:r w:rsidR="003F0FF9" w:rsidRPr="00A746CB">
        <w:rPr>
          <w:szCs w:val="23"/>
        </w:rPr>
        <w:t>s</w:t>
      </w:r>
      <w:r w:rsidRPr="00A746CB">
        <w:rPr>
          <w:szCs w:val="23"/>
        </w:rPr>
        <w:t xml:space="preserve"> to be analytically consistent since </w:t>
      </w:r>
      <w:r w:rsidR="003F0FF9" w:rsidRPr="00A746CB">
        <w:rPr>
          <w:szCs w:val="23"/>
        </w:rPr>
        <w:t>it</w:t>
      </w:r>
      <w:r w:rsidRPr="00A746CB">
        <w:rPr>
          <w:szCs w:val="23"/>
        </w:rPr>
        <w:t xml:space="preserve"> ha</w:t>
      </w:r>
      <w:r w:rsidR="003F0FF9" w:rsidRPr="00A746CB">
        <w:rPr>
          <w:szCs w:val="23"/>
        </w:rPr>
        <w:t>s</w:t>
      </w:r>
      <w:r w:rsidRPr="00A746CB">
        <w:rPr>
          <w:szCs w:val="23"/>
        </w:rPr>
        <w:t xml:space="preserve"> been obtained from samples of highly diverse potassium content such as </w:t>
      </w:r>
      <w:r w:rsidR="008E31C9" w:rsidRPr="00A746CB">
        <w:rPr>
          <w:szCs w:val="23"/>
        </w:rPr>
        <w:t xml:space="preserve">tholeiite </w:t>
      </w:r>
      <w:r w:rsidRPr="00A746CB">
        <w:rPr>
          <w:szCs w:val="23"/>
        </w:rPr>
        <w:t xml:space="preserve">groundmass and K-feldspar </w:t>
      </w:r>
      <w:r w:rsidR="008E31C9" w:rsidRPr="00A746CB">
        <w:rPr>
          <w:szCs w:val="23"/>
        </w:rPr>
        <w:t>separate</w:t>
      </w:r>
      <w:r w:rsidR="00AE1607">
        <w:rPr>
          <w:szCs w:val="23"/>
        </w:rPr>
        <w:t>s</w:t>
      </w:r>
      <w:r w:rsidR="008E31C9" w:rsidRPr="00A746CB">
        <w:rPr>
          <w:szCs w:val="23"/>
        </w:rPr>
        <w:t xml:space="preserve"> </w:t>
      </w:r>
      <w:r w:rsidRPr="00A746CB">
        <w:rPr>
          <w:szCs w:val="23"/>
        </w:rPr>
        <w:t xml:space="preserve">of granite and dacite. More radiometric age determinations </w:t>
      </w:r>
      <w:r w:rsidR="00F92C8A">
        <w:rPr>
          <w:szCs w:val="23"/>
        </w:rPr>
        <w:t xml:space="preserve">could </w:t>
      </w:r>
      <w:r w:rsidRPr="00A746CB">
        <w:rPr>
          <w:szCs w:val="23"/>
        </w:rPr>
        <w:t xml:space="preserve">clarify if tholeiitic volcanism older than 19 Ma </w:t>
      </w:r>
      <w:r w:rsidR="00F92C8A">
        <w:rPr>
          <w:szCs w:val="23"/>
        </w:rPr>
        <w:t>occur</w:t>
      </w:r>
      <w:r w:rsidR="00AE1607">
        <w:rPr>
          <w:szCs w:val="23"/>
        </w:rPr>
        <w:t>red</w:t>
      </w:r>
      <w:r w:rsidR="00F92C8A">
        <w:rPr>
          <w:szCs w:val="23"/>
        </w:rPr>
        <w:t xml:space="preserve"> </w:t>
      </w:r>
      <w:r w:rsidRPr="00A746CB">
        <w:rPr>
          <w:szCs w:val="23"/>
        </w:rPr>
        <w:t xml:space="preserve">in </w:t>
      </w:r>
      <w:r w:rsidR="003F0FF9" w:rsidRPr="00A746CB">
        <w:rPr>
          <w:szCs w:val="23"/>
        </w:rPr>
        <w:t xml:space="preserve">the </w:t>
      </w:r>
      <w:r w:rsidRPr="00A746CB">
        <w:rPr>
          <w:szCs w:val="23"/>
        </w:rPr>
        <w:t>Malaga area.</w:t>
      </w:r>
    </w:p>
    <w:p w:rsidR="003429A0" w:rsidRPr="00A746CB" w:rsidRDefault="003429A0" w:rsidP="00D63C2A">
      <w:pPr>
        <w:spacing w:line="240" w:lineRule="auto"/>
        <w:ind w:firstLine="720"/>
        <w:rPr>
          <w:szCs w:val="23"/>
        </w:rPr>
      </w:pPr>
      <w:r w:rsidRPr="00A746CB">
        <w:rPr>
          <w:szCs w:val="23"/>
        </w:rPr>
        <w:t xml:space="preserve">Figure </w:t>
      </w:r>
      <w:r w:rsidR="00F84EF3">
        <w:rPr>
          <w:szCs w:val="23"/>
        </w:rPr>
        <w:t>2</w:t>
      </w:r>
      <w:r w:rsidRPr="00A746CB">
        <w:rPr>
          <w:szCs w:val="23"/>
        </w:rPr>
        <w:t>/B show</w:t>
      </w:r>
      <w:r w:rsidR="004174B1">
        <w:rPr>
          <w:szCs w:val="23"/>
        </w:rPr>
        <w:t>s</w:t>
      </w:r>
      <w:r w:rsidRPr="00A746CB">
        <w:rPr>
          <w:szCs w:val="23"/>
        </w:rPr>
        <w:t xml:space="preserve"> that </w:t>
      </w:r>
      <w:r w:rsidR="007A5D0E">
        <w:rPr>
          <w:szCs w:val="23"/>
        </w:rPr>
        <w:t>intrusives</w:t>
      </w:r>
      <w:r w:rsidRPr="00A746CB">
        <w:rPr>
          <w:szCs w:val="23"/>
        </w:rPr>
        <w:t xml:space="preserve"> are widespread in the Algerian margin. Granodiorites are exposed in Thenia (site 10a</w:t>
      </w:r>
      <w:r w:rsidR="00F92C8A">
        <w:rPr>
          <w:szCs w:val="23"/>
        </w:rPr>
        <w:t>; sample T22)</w:t>
      </w:r>
      <w:r w:rsidR="007A5D0E">
        <w:rPr>
          <w:szCs w:val="23"/>
        </w:rPr>
        <w:t>, monzonites</w:t>
      </w:r>
      <w:r w:rsidRPr="00A746CB">
        <w:rPr>
          <w:szCs w:val="23"/>
        </w:rPr>
        <w:t xml:space="preserve"> </w:t>
      </w:r>
      <w:r w:rsidR="007A5D0E">
        <w:rPr>
          <w:szCs w:val="23"/>
        </w:rPr>
        <w:t xml:space="preserve">and diorites </w:t>
      </w:r>
      <w:r w:rsidRPr="00A746CB">
        <w:rPr>
          <w:szCs w:val="23"/>
        </w:rPr>
        <w:t>in Bejaia-Amizour (site n. 11</w:t>
      </w:r>
      <w:r w:rsidR="00F92C8A">
        <w:rPr>
          <w:szCs w:val="23"/>
        </w:rPr>
        <w:t xml:space="preserve">; </w:t>
      </w:r>
      <w:r w:rsidRPr="00F92C8A">
        <w:rPr>
          <w:szCs w:val="23"/>
        </w:rPr>
        <w:t>samples A12, A1, A9</w:t>
      </w:r>
      <w:r w:rsidR="00F07C62">
        <w:rPr>
          <w:szCs w:val="23"/>
        </w:rPr>
        <w:t xml:space="preserve">). </w:t>
      </w:r>
      <w:r w:rsidRPr="00A746CB">
        <w:rPr>
          <w:szCs w:val="23"/>
        </w:rPr>
        <w:t xml:space="preserve">Cordierite-granites </w:t>
      </w:r>
      <w:r w:rsidRPr="00F07C62">
        <w:rPr>
          <w:szCs w:val="23"/>
        </w:rPr>
        <w:t>(samples U3, L61)</w:t>
      </w:r>
      <w:r w:rsidR="00F07C62">
        <w:rPr>
          <w:szCs w:val="23"/>
        </w:rPr>
        <w:t>,</w:t>
      </w:r>
      <w:r w:rsidR="007A5D0E">
        <w:rPr>
          <w:szCs w:val="23"/>
        </w:rPr>
        <w:t xml:space="preserve"> gabbros</w:t>
      </w:r>
      <w:r w:rsidRPr="00A746CB">
        <w:rPr>
          <w:szCs w:val="23"/>
        </w:rPr>
        <w:t xml:space="preserve"> and rhyolites (sample C1) crop out in the vulcano-plutonic complex of Cap Bougaroun-Collo (20 x 10 km; site 12), rhyolites in El Milia (about 30 km to the south of site 12</w:t>
      </w:r>
      <w:r w:rsidR="007A5D0E">
        <w:rPr>
          <w:szCs w:val="23"/>
        </w:rPr>
        <w:t>)</w:t>
      </w:r>
      <w:r w:rsidRPr="00A746CB">
        <w:rPr>
          <w:szCs w:val="23"/>
        </w:rPr>
        <w:t>; and tholeiitic basalts in Dellys (site 19</w:t>
      </w:r>
      <w:r w:rsidR="007A5D0E">
        <w:rPr>
          <w:szCs w:val="23"/>
        </w:rPr>
        <w:t>)</w:t>
      </w:r>
      <w:r w:rsidRPr="00A746CB">
        <w:rPr>
          <w:szCs w:val="23"/>
        </w:rPr>
        <w:t>.</w:t>
      </w:r>
      <w:r w:rsidR="00F43B52" w:rsidRPr="00F43B52">
        <w:rPr>
          <w:szCs w:val="23"/>
        </w:rPr>
        <w:t xml:space="preserve"> </w:t>
      </w:r>
      <w:r w:rsidR="005867E8" w:rsidRPr="00A746CB">
        <w:rPr>
          <w:szCs w:val="23"/>
        </w:rPr>
        <w:t xml:space="preserve">The space-time distribution of </w:t>
      </w:r>
      <w:r w:rsidR="002943EF">
        <w:rPr>
          <w:szCs w:val="23"/>
        </w:rPr>
        <w:t xml:space="preserve">volcanics and </w:t>
      </w:r>
      <w:r w:rsidR="005867E8" w:rsidRPr="00A746CB">
        <w:rPr>
          <w:szCs w:val="23"/>
        </w:rPr>
        <w:t>magmatic</w:t>
      </w:r>
      <w:r w:rsidR="002943EF">
        <w:rPr>
          <w:szCs w:val="23"/>
        </w:rPr>
        <w:t>s</w:t>
      </w:r>
      <w:r w:rsidR="005867E8" w:rsidRPr="00A746CB">
        <w:rPr>
          <w:szCs w:val="23"/>
        </w:rPr>
        <w:t xml:space="preserve"> that are not coeval with the oceanic openings</w:t>
      </w:r>
      <w:r w:rsidR="005867E8">
        <w:rPr>
          <w:szCs w:val="23"/>
        </w:rPr>
        <w:t xml:space="preserve"> is </w:t>
      </w:r>
      <w:r w:rsidR="007A0DC1">
        <w:rPr>
          <w:szCs w:val="23"/>
        </w:rPr>
        <w:t>issue</w:t>
      </w:r>
      <w:r w:rsidR="005867E8">
        <w:rPr>
          <w:szCs w:val="23"/>
        </w:rPr>
        <w:t xml:space="preserve"> </w:t>
      </w:r>
      <w:r w:rsidR="007A0DC1">
        <w:rPr>
          <w:szCs w:val="23"/>
        </w:rPr>
        <w:t xml:space="preserve">of </w:t>
      </w:r>
      <w:r w:rsidR="005867E8" w:rsidRPr="00822669">
        <w:rPr>
          <w:i/>
          <w:szCs w:val="23"/>
        </w:rPr>
        <w:t>Supplementary</w:t>
      </w:r>
      <w:r w:rsidR="000A5FB2">
        <w:rPr>
          <w:i/>
          <w:szCs w:val="23"/>
        </w:rPr>
        <w:t xml:space="preserve"> </w:t>
      </w:r>
      <w:r w:rsidR="004174B1">
        <w:rPr>
          <w:i/>
          <w:szCs w:val="23"/>
        </w:rPr>
        <w:t>Info</w:t>
      </w:r>
      <w:r w:rsidR="005867E8" w:rsidRPr="00822669">
        <w:rPr>
          <w:i/>
          <w:szCs w:val="23"/>
        </w:rPr>
        <w:t xml:space="preserve"> </w:t>
      </w:r>
      <w:r w:rsidR="009B43C9">
        <w:rPr>
          <w:i/>
          <w:szCs w:val="23"/>
        </w:rPr>
        <w:t>S</w:t>
      </w:r>
      <w:r w:rsidR="00F724E0">
        <w:rPr>
          <w:i/>
          <w:szCs w:val="23"/>
        </w:rPr>
        <w:t>2</w:t>
      </w:r>
      <w:r w:rsidR="005867E8">
        <w:rPr>
          <w:szCs w:val="23"/>
        </w:rPr>
        <w:t>.</w:t>
      </w:r>
      <w:r w:rsidR="008731D3">
        <w:rPr>
          <w:szCs w:val="23"/>
        </w:rPr>
        <w:t xml:space="preserve"> </w:t>
      </w:r>
    </w:p>
    <w:p w:rsidR="00D44308" w:rsidRDefault="00415791" w:rsidP="00C83783">
      <w:pPr>
        <w:pStyle w:val="Testonormale"/>
        <w:spacing w:line="240" w:lineRule="auto"/>
        <w:ind w:firstLine="720"/>
        <w:jc w:val="both"/>
        <w:rPr>
          <w:rFonts w:ascii="Times New Roman" w:hAnsi="Times New Roman" w:cs="Times New Roman"/>
          <w:sz w:val="24"/>
          <w:szCs w:val="23"/>
          <w:lang w:val="en-GB"/>
        </w:rPr>
      </w:pPr>
      <w:r>
        <w:rPr>
          <w:noProof/>
        </w:rPr>
        <w:drawing>
          <wp:inline distT="0" distB="0" distL="0" distR="0">
            <wp:extent cx="4114800" cy="4676775"/>
            <wp:effectExtent l="19050" t="0" r="0" b="0"/>
            <wp:docPr id="4" name="Immagine 4"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6"/>
                    <pic:cNvPicPr>
                      <a:picLocks noChangeAspect="1" noChangeArrowheads="1"/>
                    </pic:cNvPicPr>
                  </pic:nvPicPr>
                  <pic:blipFill>
                    <a:blip r:embed="rId12" cstate="print"/>
                    <a:srcRect/>
                    <a:stretch>
                      <a:fillRect/>
                    </a:stretch>
                  </pic:blipFill>
                  <pic:spPr bwMode="auto">
                    <a:xfrm>
                      <a:off x="0" y="0"/>
                      <a:ext cx="4114800" cy="4676775"/>
                    </a:xfrm>
                    <a:prstGeom prst="rect">
                      <a:avLst/>
                    </a:prstGeom>
                    <a:noFill/>
                    <a:ln w="9525">
                      <a:noFill/>
                      <a:miter lim="800000"/>
                      <a:headEnd/>
                      <a:tailEnd/>
                    </a:ln>
                  </pic:spPr>
                </pic:pic>
              </a:graphicData>
            </a:graphic>
          </wp:inline>
        </w:drawing>
      </w:r>
      <w:r w:rsidR="00D44308" w:rsidRPr="00A746CB">
        <w:rPr>
          <w:rFonts w:ascii="Times New Roman" w:hAnsi="Times New Roman" w:cs="Times New Roman"/>
          <w:sz w:val="24"/>
          <w:szCs w:val="23"/>
          <w:lang w:val="en-GB"/>
        </w:rPr>
        <w:t xml:space="preserve"> </w:t>
      </w:r>
    </w:p>
    <w:p w:rsidR="009A4DC9" w:rsidRDefault="009A4DC9" w:rsidP="009A4DC9">
      <w:pPr>
        <w:pStyle w:val="Testonormale"/>
        <w:spacing w:line="240" w:lineRule="auto"/>
        <w:jc w:val="both"/>
        <w:rPr>
          <w:rFonts w:ascii="Times New Roman" w:hAnsi="Times New Roman" w:cs="Times New Roman"/>
          <w:lang w:val="en-GB"/>
        </w:rPr>
      </w:pPr>
      <w:r w:rsidRPr="009A4DC9">
        <w:rPr>
          <w:rFonts w:ascii="Times New Roman" w:hAnsi="Times New Roman" w:cs="Times New Roman"/>
          <w:b/>
          <w:lang w:val="en-GB"/>
        </w:rPr>
        <w:t xml:space="preserve">Figure </w:t>
      </w:r>
      <w:r w:rsidR="00F84EF3">
        <w:rPr>
          <w:rFonts w:ascii="Times New Roman" w:hAnsi="Times New Roman" w:cs="Times New Roman"/>
          <w:b/>
          <w:lang w:val="en-GB"/>
        </w:rPr>
        <w:t>5</w:t>
      </w:r>
      <w:r w:rsidRPr="009A4DC9">
        <w:rPr>
          <w:rFonts w:ascii="Times New Roman" w:hAnsi="Times New Roman" w:cs="Times New Roman"/>
          <w:b/>
          <w:lang w:val="en-GB"/>
        </w:rPr>
        <w:t>.</w:t>
      </w:r>
      <w:r w:rsidRPr="009A4DC9">
        <w:rPr>
          <w:rFonts w:ascii="Times New Roman" w:hAnsi="Times New Roman" w:cs="Times New Roman"/>
          <w:lang w:val="en-GB"/>
        </w:rPr>
        <w:t xml:space="preserve"> Histogram of age data (number of ages vs age data) of magmatics from the Provence-Corsica-Sardinia-Tyrrhenian-Peninsular Italy area since the Oligocene. </w:t>
      </w:r>
      <w:r w:rsidRPr="009A4DC9">
        <w:rPr>
          <w:rFonts w:ascii="Times New Roman" w:hAnsi="Times New Roman" w:cs="Times New Roman"/>
          <w:b/>
          <w:lang w:val="en-GB"/>
        </w:rPr>
        <w:t>a</w:t>
      </w:r>
      <w:r w:rsidRPr="009A4DC9">
        <w:rPr>
          <w:rFonts w:ascii="Times New Roman" w:hAnsi="Times New Roman" w:cs="Times New Roman"/>
          <w:lang w:val="en-GB"/>
        </w:rPr>
        <w:t xml:space="preserve">) = the age clusters of the Oligocene -mid Miocene (ca. 33/32 - 12 Ma), Pliocene (ca. 5.4 - 1.8 Ma) and Quaternary (ca. 1.2 - 0 Ma; see Fig. </w:t>
      </w:r>
      <w:r w:rsidR="003043B5">
        <w:rPr>
          <w:rFonts w:ascii="Times New Roman" w:hAnsi="Times New Roman" w:cs="Times New Roman"/>
          <w:lang w:val="en-GB"/>
        </w:rPr>
        <w:t>6</w:t>
      </w:r>
      <w:r w:rsidRPr="009A4DC9">
        <w:rPr>
          <w:rFonts w:ascii="Times New Roman" w:hAnsi="Times New Roman" w:cs="Times New Roman"/>
          <w:lang w:val="en-GB"/>
        </w:rPr>
        <w:t xml:space="preserve"> and text); </w:t>
      </w:r>
      <w:r w:rsidRPr="009A4DC9">
        <w:rPr>
          <w:rFonts w:ascii="Times New Roman" w:hAnsi="Times New Roman" w:cs="Times New Roman"/>
          <w:b/>
          <w:lang w:val="en-GB"/>
        </w:rPr>
        <w:t>b</w:t>
      </w:r>
      <w:r w:rsidRPr="009A4DC9">
        <w:rPr>
          <w:rFonts w:ascii="Times New Roman" w:hAnsi="Times New Roman" w:cs="Times New Roman"/>
          <w:lang w:val="en-GB"/>
        </w:rPr>
        <w:t xml:space="preserve">) = the episodes of oceanic spreading (OS) which formed the basins of Sardinia-Provence, Vavilov and Marsili. With respect to the </w:t>
      </w:r>
      <w:r w:rsidRPr="009A4DC9">
        <w:rPr>
          <w:rFonts w:ascii="Times New Roman" w:hAnsi="Times New Roman" w:cs="Times New Roman"/>
          <w:lang w:val="en-GB"/>
        </w:rPr>
        <w:lastRenderedPageBreak/>
        <w:t>peripheral areas of the basins, volcanic activity has been abundant during OS1, and absent or scarce during OS2 and OS3. Legend: th = tholeiites; grd = granitoids.</w:t>
      </w:r>
    </w:p>
    <w:p w:rsidR="009A4DC9" w:rsidRPr="009A4DC9" w:rsidRDefault="009A4DC9" w:rsidP="009A4DC9">
      <w:pPr>
        <w:pStyle w:val="Testonormale"/>
        <w:spacing w:line="240" w:lineRule="auto"/>
        <w:jc w:val="both"/>
        <w:rPr>
          <w:rFonts w:ascii="Times New Roman" w:hAnsi="Times New Roman" w:cs="Times New Roman"/>
          <w:lang w:val="en-GB"/>
        </w:rPr>
      </w:pPr>
    </w:p>
    <w:p w:rsidR="00D44308" w:rsidRPr="009A4DC9" w:rsidRDefault="00F54ADB" w:rsidP="00D63C2A">
      <w:pPr>
        <w:spacing w:line="240" w:lineRule="auto"/>
        <w:rPr>
          <w:b/>
        </w:rPr>
      </w:pPr>
      <w:r>
        <w:rPr>
          <w:b/>
        </w:rPr>
        <w:t>Relationships between o</w:t>
      </w:r>
      <w:r w:rsidR="009B0854" w:rsidRPr="009A4DC9">
        <w:rPr>
          <w:b/>
        </w:rPr>
        <w:t xml:space="preserve">ceanic opening and peri-basinal magmas </w:t>
      </w:r>
    </w:p>
    <w:p w:rsidR="00053342" w:rsidRPr="009A4DC9" w:rsidRDefault="00053342" w:rsidP="00D63C2A">
      <w:pPr>
        <w:spacing w:line="240" w:lineRule="auto"/>
      </w:pPr>
    </w:p>
    <w:p w:rsidR="009914A4" w:rsidRPr="009A4DC9" w:rsidRDefault="009914A4" w:rsidP="00D63C2A">
      <w:pPr>
        <w:spacing w:line="240" w:lineRule="auto"/>
        <w:rPr>
          <w:i/>
          <w:shadow/>
          <w:u w:val="single"/>
        </w:rPr>
      </w:pPr>
      <w:r w:rsidRPr="009A4DC9">
        <w:rPr>
          <w:i/>
          <w:shadow/>
          <w:u w:val="single"/>
        </w:rPr>
        <w:t>Age distribution</w:t>
      </w:r>
    </w:p>
    <w:p w:rsidR="006E3ED4" w:rsidRPr="00B607EB" w:rsidRDefault="009914A4" w:rsidP="009A4DC9">
      <w:pPr>
        <w:pStyle w:val="Testonormale"/>
        <w:spacing w:line="240" w:lineRule="auto"/>
        <w:jc w:val="both"/>
        <w:rPr>
          <w:sz w:val="24"/>
          <w:szCs w:val="23"/>
          <w:lang w:val="en-GB"/>
        </w:rPr>
      </w:pPr>
      <w:r w:rsidRPr="005D63FF">
        <w:rPr>
          <w:sz w:val="24"/>
          <w:szCs w:val="24"/>
          <w:lang w:val="en-GB"/>
        </w:rPr>
        <w:t>A</w:t>
      </w:r>
      <w:r w:rsidR="00D44308" w:rsidRPr="005D63FF">
        <w:rPr>
          <w:sz w:val="24"/>
          <w:szCs w:val="24"/>
          <w:lang w:val="en-GB"/>
        </w:rPr>
        <w:t xml:space="preserve">n </w:t>
      </w:r>
      <w:r w:rsidRPr="005D63FF">
        <w:rPr>
          <w:sz w:val="24"/>
          <w:szCs w:val="24"/>
          <w:lang w:val="en-GB"/>
        </w:rPr>
        <w:t xml:space="preserve">age </w:t>
      </w:r>
      <w:r w:rsidR="00D44308" w:rsidRPr="005D63FF">
        <w:rPr>
          <w:sz w:val="24"/>
          <w:szCs w:val="24"/>
          <w:lang w:val="en-GB"/>
        </w:rPr>
        <w:t xml:space="preserve">histogram illustrates the </w:t>
      </w:r>
      <w:r w:rsidR="003C5FE7">
        <w:rPr>
          <w:sz w:val="24"/>
          <w:szCs w:val="24"/>
          <w:lang w:val="en-GB"/>
        </w:rPr>
        <w:t>distribution of geochronology</w:t>
      </w:r>
      <w:r w:rsidR="00D44308" w:rsidRPr="005D63FF">
        <w:rPr>
          <w:sz w:val="24"/>
          <w:szCs w:val="24"/>
          <w:lang w:val="en-GB"/>
        </w:rPr>
        <w:t xml:space="preserve"> data of magmatics from the Provence-Corsica-Sardinia-Tyrrhenian </w:t>
      </w:r>
      <w:r w:rsidR="00563C10" w:rsidRPr="005D63FF">
        <w:rPr>
          <w:sz w:val="24"/>
          <w:szCs w:val="24"/>
          <w:lang w:val="en-GB"/>
        </w:rPr>
        <w:t>region</w:t>
      </w:r>
      <w:r w:rsidR="00D44308" w:rsidRPr="005D63FF">
        <w:rPr>
          <w:sz w:val="24"/>
          <w:szCs w:val="24"/>
          <w:lang w:val="en-GB"/>
        </w:rPr>
        <w:t xml:space="preserve"> and the peninsular Italy since the Oligocene (Fig. </w:t>
      </w:r>
      <w:r w:rsidR="00F84EF3">
        <w:rPr>
          <w:sz w:val="24"/>
          <w:szCs w:val="24"/>
          <w:lang w:val="en-GB"/>
        </w:rPr>
        <w:t>5</w:t>
      </w:r>
      <w:r w:rsidR="003C5FE7">
        <w:rPr>
          <w:sz w:val="24"/>
          <w:szCs w:val="24"/>
          <w:lang w:val="en-GB"/>
        </w:rPr>
        <w:t>/</w:t>
      </w:r>
      <w:r w:rsidR="00F84EF3">
        <w:rPr>
          <w:sz w:val="24"/>
          <w:szCs w:val="24"/>
          <w:lang w:val="en-GB"/>
        </w:rPr>
        <w:t>a</w:t>
      </w:r>
      <w:r w:rsidR="00D44308" w:rsidRPr="005D63FF">
        <w:rPr>
          <w:sz w:val="24"/>
          <w:szCs w:val="24"/>
          <w:lang w:val="en-GB"/>
        </w:rPr>
        <w:t xml:space="preserve">). </w:t>
      </w:r>
      <w:r w:rsidR="003C5FE7">
        <w:rPr>
          <w:sz w:val="24"/>
          <w:szCs w:val="24"/>
          <w:lang w:val="en-GB"/>
        </w:rPr>
        <w:t>F</w:t>
      </w:r>
      <w:r w:rsidR="00817E9F" w:rsidRPr="000832B4">
        <w:rPr>
          <w:sz w:val="24"/>
          <w:szCs w:val="24"/>
          <w:lang w:val="en-GB"/>
        </w:rPr>
        <w:t xml:space="preserve">igure </w:t>
      </w:r>
      <w:r w:rsidR="00F84EF3">
        <w:rPr>
          <w:sz w:val="24"/>
          <w:szCs w:val="24"/>
          <w:lang w:val="en-GB"/>
        </w:rPr>
        <w:t>part (b)</w:t>
      </w:r>
      <w:r w:rsidR="00817E9F" w:rsidRPr="000832B4">
        <w:rPr>
          <w:sz w:val="24"/>
          <w:szCs w:val="24"/>
          <w:lang w:val="en-GB"/>
        </w:rPr>
        <w:t xml:space="preserve"> </w:t>
      </w:r>
      <w:r w:rsidR="00D44308" w:rsidRPr="000832B4">
        <w:rPr>
          <w:sz w:val="24"/>
          <w:szCs w:val="24"/>
          <w:lang w:val="en-GB"/>
        </w:rPr>
        <w:t>shows th</w:t>
      </w:r>
      <w:r w:rsidR="003C5FE7">
        <w:rPr>
          <w:sz w:val="24"/>
          <w:szCs w:val="24"/>
          <w:lang w:val="en-GB"/>
        </w:rPr>
        <w:t>at</w:t>
      </w:r>
      <w:r w:rsidR="00D44308" w:rsidRPr="000832B4">
        <w:rPr>
          <w:sz w:val="24"/>
          <w:szCs w:val="24"/>
          <w:lang w:val="en-GB"/>
        </w:rPr>
        <w:t xml:space="preserve"> intra-basin magmatics </w:t>
      </w:r>
      <w:r w:rsidR="003C5FE7">
        <w:rPr>
          <w:sz w:val="24"/>
          <w:szCs w:val="24"/>
          <w:lang w:val="en-GB"/>
        </w:rPr>
        <w:t xml:space="preserve">were </w:t>
      </w:r>
      <w:r w:rsidR="003C5FE7" w:rsidRPr="000832B4">
        <w:rPr>
          <w:sz w:val="24"/>
          <w:szCs w:val="24"/>
          <w:lang w:val="en-GB"/>
        </w:rPr>
        <w:t>presen</w:t>
      </w:r>
      <w:r w:rsidR="003C5FE7">
        <w:rPr>
          <w:sz w:val="24"/>
          <w:szCs w:val="24"/>
          <w:lang w:val="en-GB"/>
        </w:rPr>
        <w:t xml:space="preserve">t </w:t>
      </w:r>
      <w:r w:rsidR="00D44308" w:rsidRPr="000832B4">
        <w:rPr>
          <w:sz w:val="24"/>
          <w:szCs w:val="24"/>
          <w:lang w:val="en-GB"/>
        </w:rPr>
        <w:t xml:space="preserve">during the Tyrrhenian spreading </w:t>
      </w:r>
      <w:r w:rsidR="00817E9F" w:rsidRPr="000832B4">
        <w:rPr>
          <w:sz w:val="24"/>
          <w:szCs w:val="24"/>
          <w:lang w:val="en-GB"/>
        </w:rPr>
        <w:t xml:space="preserve">episodes </w:t>
      </w:r>
      <w:r w:rsidR="00D44308" w:rsidRPr="000832B4">
        <w:rPr>
          <w:sz w:val="24"/>
          <w:szCs w:val="24"/>
          <w:lang w:val="en-GB"/>
        </w:rPr>
        <w:t xml:space="preserve">of the late Miocene (Vavilov basin, OS2) and the late Pliocene (Marsili basin, OS3). </w:t>
      </w:r>
      <w:r w:rsidR="009A4DC9" w:rsidRPr="009A4DC9">
        <w:rPr>
          <w:rFonts w:ascii="Times New Roman" w:hAnsi="Times New Roman" w:cs="Times New Roman"/>
          <w:sz w:val="24"/>
          <w:szCs w:val="24"/>
          <w:lang w:val="en-GB"/>
        </w:rPr>
        <w:t xml:space="preserve">In the Burdigalian, </w:t>
      </w:r>
      <w:r w:rsidR="003C5FE7">
        <w:rPr>
          <w:rFonts w:ascii="Times New Roman" w:hAnsi="Times New Roman" w:cs="Times New Roman"/>
          <w:sz w:val="24"/>
          <w:szCs w:val="24"/>
          <w:lang w:val="en-GB"/>
        </w:rPr>
        <w:t xml:space="preserve">seafloor </w:t>
      </w:r>
      <w:r w:rsidR="009A4DC9" w:rsidRPr="009A4DC9">
        <w:rPr>
          <w:rFonts w:ascii="Times New Roman" w:hAnsi="Times New Roman" w:cs="Times New Roman"/>
          <w:sz w:val="24"/>
          <w:szCs w:val="24"/>
          <w:lang w:val="en-GB"/>
        </w:rPr>
        <w:t xml:space="preserve">spreading of the </w:t>
      </w:r>
      <w:r w:rsidR="00D44308" w:rsidRPr="009A4DC9">
        <w:rPr>
          <w:rFonts w:ascii="Times New Roman" w:hAnsi="Times New Roman" w:cs="Times New Roman"/>
          <w:sz w:val="24"/>
          <w:szCs w:val="24"/>
          <w:lang w:val="en-GB"/>
        </w:rPr>
        <w:t xml:space="preserve">Sardinia-Provence basin (OS1) occurred in concomitance with </w:t>
      </w:r>
      <w:r w:rsidR="002A39A7">
        <w:rPr>
          <w:rFonts w:ascii="Times New Roman" w:hAnsi="Times New Roman" w:cs="Times New Roman"/>
          <w:sz w:val="24"/>
          <w:szCs w:val="24"/>
          <w:lang w:val="en-GB"/>
        </w:rPr>
        <w:t>strong</w:t>
      </w:r>
      <w:r w:rsidR="00D44308" w:rsidRPr="009A4DC9">
        <w:rPr>
          <w:rFonts w:ascii="Times New Roman" w:hAnsi="Times New Roman" w:cs="Times New Roman"/>
          <w:sz w:val="24"/>
          <w:szCs w:val="24"/>
          <w:lang w:val="en-GB"/>
        </w:rPr>
        <w:t xml:space="preserve"> eruptive activity of </w:t>
      </w:r>
      <w:r w:rsidR="002A39A7">
        <w:rPr>
          <w:rFonts w:ascii="Times New Roman" w:hAnsi="Times New Roman" w:cs="Times New Roman"/>
          <w:sz w:val="24"/>
          <w:szCs w:val="24"/>
          <w:lang w:val="en-GB"/>
        </w:rPr>
        <w:t>the margins</w:t>
      </w:r>
      <w:r w:rsidR="00D44308" w:rsidRPr="009A4DC9">
        <w:rPr>
          <w:rFonts w:ascii="Times New Roman" w:hAnsi="Times New Roman" w:cs="Times New Roman"/>
          <w:sz w:val="24"/>
          <w:szCs w:val="24"/>
          <w:lang w:val="en-GB"/>
        </w:rPr>
        <w:t xml:space="preserve">. </w:t>
      </w:r>
      <w:r w:rsidR="00195721" w:rsidRPr="005D63FF">
        <w:rPr>
          <w:rFonts w:ascii="Times New Roman" w:hAnsi="Times New Roman" w:cs="Times New Roman"/>
          <w:sz w:val="24"/>
          <w:szCs w:val="24"/>
          <w:lang w:val="en-GB"/>
        </w:rPr>
        <w:t>By</w:t>
      </w:r>
      <w:r w:rsidR="00D44308" w:rsidRPr="005D63FF">
        <w:rPr>
          <w:rFonts w:ascii="Times New Roman" w:hAnsi="Times New Roman" w:cs="Times New Roman"/>
          <w:sz w:val="24"/>
          <w:szCs w:val="24"/>
          <w:lang w:val="en-GB"/>
        </w:rPr>
        <w:t xml:space="preserve"> the </w:t>
      </w:r>
      <w:r w:rsidR="00195721" w:rsidRPr="005D63FF">
        <w:rPr>
          <w:rFonts w:ascii="Times New Roman" w:hAnsi="Times New Roman" w:cs="Times New Roman"/>
          <w:sz w:val="24"/>
          <w:szCs w:val="24"/>
          <w:lang w:val="en-GB"/>
        </w:rPr>
        <w:t>same period,</w:t>
      </w:r>
      <w:r w:rsidR="00D44308" w:rsidRPr="005D63FF">
        <w:rPr>
          <w:rFonts w:ascii="Times New Roman" w:hAnsi="Times New Roman" w:cs="Times New Roman"/>
          <w:sz w:val="24"/>
          <w:szCs w:val="24"/>
          <w:lang w:val="en-GB"/>
        </w:rPr>
        <w:t xml:space="preserve"> </w:t>
      </w:r>
      <w:r w:rsidR="002E4B69">
        <w:rPr>
          <w:rFonts w:ascii="Times New Roman" w:hAnsi="Times New Roman" w:cs="Times New Roman"/>
          <w:sz w:val="24"/>
          <w:szCs w:val="24"/>
          <w:lang w:val="en-GB"/>
        </w:rPr>
        <w:t>also</w:t>
      </w:r>
      <w:r w:rsidR="003C5FE7">
        <w:rPr>
          <w:rFonts w:ascii="Times New Roman" w:hAnsi="Times New Roman" w:cs="Times New Roman"/>
          <w:sz w:val="24"/>
          <w:szCs w:val="24"/>
          <w:lang w:val="en-GB"/>
        </w:rPr>
        <w:t xml:space="preserve"> </w:t>
      </w:r>
      <w:r w:rsidR="00D44308" w:rsidRPr="005D63FF">
        <w:rPr>
          <w:rFonts w:ascii="Times New Roman" w:hAnsi="Times New Roman" w:cs="Times New Roman"/>
          <w:sz w:val="24"/>
          <w:szCs w:val="24"/>
          <w:lang w:val="en-GB"/>
        </w:rPr>
        <w:t xml:space="preserve">the opening of the north Algeria </w:t>
      </w:r>
      <w:r w:rsidR="00124BE2" w:rsidRPr="005D63FF">
        <w:rPr>
          <w:rFonts w:ascii="Times New Roman" w:hAnsi="Times New Roman" w:cs="Times New Roman"/>
          <w:sz w:val="24"/>
          <w:szCs w:val="24"/>
          <w:lang w:val="en-GB"/>
        </w:rPr>
        <w:t xml:space="preserve">basin of the west Mediterranean OAA </w:t>
      </w:r>
      <w:r w:rsidR="00D44308" w:rsidRPr="005D63FF">
        <w:rPr>
          <w:rFonts w:ascii="Times New Roman" w:hAnsi="Times New Roman" w:cs="Times New Roman"/>
          <w:sz w:val="24"/>
          <w:szCs w:val="24"/>
          <w:lang w:val="en-GB"/>
        </w:rPr>
        <w:t xml:space="preserve">was accompanied by </w:t>
      </w:r>
      <w:r w:rsidR="00D44308" w:rsidRPr="005D63FF">
        <w:rPr>
          <w:rFonts w:ascii="Times New Roman" w:hAnsi="Times New Roman" w:cs="Times New Roman"/>
          <w:i/>
          <w:sz w:val="24"/>
          <w:szCs w:val="24"/>
          <w:lang w:val="en-GB"/>
        </w:rPr>
        <w:t>intense eruptive activity</w:t>
      </w:r>
      <w:r w:rsidR="00D44308" w:rsidRPr="005D63FF">
        <w:rPr>
          <w:rFonts w:ascii="Times New Roman" w:hAnsi="Times New Roman" w:cs="Times New Roman"/>
          <w:sz w:val="24"/>
          <w:szCs w:val="24"/>
          <w:lang w:val="en-GB"/>
        </w:rPr>
        <w:t xml:space="preserve"> </w:t>
      </w:r>
      <w:r w:rsidR="002A39A7">
        <w:rPr>
          <w:rFonts w:ascii="Times New Roman" w:hAnsi="Times New Roman" w:cs="Times New Roman"/>
          <w:sz w:val="24"/>
          <w:szCs w:val="24"/>
          <w:lang w:val="en-GB"/>
        </w:rPr>
        <w:t>of the</w:t>
      </w:r>
      <w:r w:rsidR="00D44308" w:rsidRPr="005D63FF">
        <w:rPr>
          <w:rFonts w:ascii="Times New Roman" w:hAnsi="Times New Roman" w:cs="Times New Roman"/>
          <w:sz w:val="24"/>
          <w:szCs w:val="24"/>
          <w:lang w:val="en-GB"/>
        </w:rPr>
        <w:t xml:space="preserve"> </w:t>
      </w:r>
      <w:r w:rsidR="002A39A7">
        <w:rPr>
          <w:rFonts w:ascii="Times New Roman" w:hAnsi="Times New Roman" w:cs="Times New Roman"/>
          <w:sz w:val="24"/>
          <w:szCs w:val="24"/>
          <w:lang w:val="en-GB"/>
        </w:rPr>
        <w:t xml:space="preserve">margins </w:t>
      </w:r>
      <w:r w:rsidR="00195721" w:rsidRPr="005D63FF">
        <w:rPr>
          <w:rFonts w:ascii="Times New Roman" w:hAnsi="Times New Roman" w:cs="Times New Roman"/>
          <w:sz w:val="24"/>
          <w:szCs w:val="24"/>
          <w:lang w:val="en-GB"/>
        </w:rPr>
        <w:t xml:space="preserve">(Fig. </w:t>
      </w:r>
      <w:r w:rsidR="00F84EF3">
        <w:rPr>
          <w:rFonts w:ascii="Times New Roman" w:hAnsi="Times New Roman" w:cs="Times New Roman"/>
          <w:sz w:val="24"/>
          <w:szCs w:val="24"/>
          <w:lang w:val="en-GB"/>
        </w:rPr>
        <w:t>2</w:t>
      </w:r>
      <w:r w:rsidR="00195721" w:rsidRPr="005D63FF">
        <w:rPr>
          <w:rFonts w:ascii="Times New Roman" w:hAnsi="Times New Roman" w:cs="Times New Roman"/>
          <w:sz w:val="24"/>
          <w:szCs w:val="24"/>
          <w:lang w:val="en-GB"/>
        </w:rPr>
        <w:t>)</w:t>
      </w:r>
      <w:r w:rsidR="00D44308" w:rsidRPr="005D63FF">
        <w:rPr>
          <w:rFonts w:ascii="Times New Roman" w:hAnsi="Times New Roman" w:cs="Times New Roman"/>
          <w:sz w:val="24"/>
          <w:szCs w:val="24"/>
          <w:lang w:val="en-GB"/>
        </w:rPr>
        <w:t>.</w:t>
      </w:r>
      <w:r w:rsidR="004A2BF3" w:rsidRPr="005D63FF">
        <w:rPr>
          <w:rFonts w:ascii="Times New Roman" w:hAnsi="Times New Roman" w:cs="Times New Roman"/>
          <w:sz w:val="24"/>
          <w:szCs w:val="24"/>
          <w:lang w:val="en-GB"/>
        </w:rPr>
        <w:t xml:space="preserve"> </w:t>
      </w:r>
      <w:r w:rsidR="002A39A7" w:rsidRPr="002A39A7">
        <w:rPr>
          <w:sz w:val="24"/>
          <w:szCs w:val="23"/>
          <w:lang w:val="en-GB"/>
        </w:rPr>
        <w:t xml:space="preserve">The late Miocene and late Pliocene episodes of oceanic opening </w:t>
      </w:r>
      <w:r w:rsidR="00B607EB">
        <w:rPr>
          <w:sz w:val="24"/>
          <w:szCs w:val="23"/>
          <w:lang w:val="en-GB"/>
        </w:rPr>
        <w:t>of</w:t>
      </w:r>
      <w:r w:rsidR="00B607EB" w:rsidRPr="002A39A7">
        <w:rPr>
          <w:sz w:val="24"/>
          <w:szCs w:val="23"/>
          <w:lang w:val="en-GB"/>
        </w:rPr>
        <w:t xml:space="preserve"> the bathyal plains of Vavilov and Marsili </w:t>
      </w:r>
      <w:r w:rsidR="002A39A7" w:rsidRPr="002A39A7">
        <w:rPr>
          <w:sz w:val="24"/>
          <w:szCs w:val="23"/>
          <w:lang w:val="en-GB"/>
        </w:rPr>
        <w:t xml:space="preserve">occurred, on the contrary, when volcanism has been absent or scarce </w:t>
      </w:r>
      <w:r w:rsidR="00B607EB">
        <w:rPr>
          <w:sz w:val="24"/>
          <w:szCs w:val="23"/>
          <w:lang w:val="en-GB"/>
        </w:rPr>
        <w:t xml:space="preserve">in the </w:t>
      </w:r>
      <w:r w:rsidR="00B607EB" w:rsidRPr="002A39A7">
        <w:rPr>
          <w:sz w:val="24"/>
          <w:szCs w:val="23"/>
          <w:lang w:val="en-GB"/>
        </w:rPr>
        <w:t xml:space="preserve">Tyrrhenian </w:t>
      </w:r>
      <w:r w:rsidR="00B607EB">
        <w:rPr>
          <w:sz w:val="24"/>
          <w:szCs w:val="23"/>
          <w:lang w:val="en-GB"/>
        </w:rPr>
        <w:t>Sea margins</w:t>
      </w:r>
      <w:r w:rsidR="002A39A7" w:rsidRPr="002A39A7">
        <w:rPr>
          <w:sz w:val="24"/>
          <w:szCs w:val="23"/>
          <w:lang w:val="en-GB"/>
        </w:rPr>
        <w:t>.</w:t>
      </w:r>
    </w:p>
    <w:p w:rsidR="00D44308" w:rsidRDefault="00184106" w:rsidP="00C83783">
      <w:pPr>
        <w:spacing w:line="240" w:lineRule="auto"/>
        <w:ind w:firstLine="720"/>
        <w:rPr>
          <w:szCs w:val="23"/>
        </w:rPr>
      </w:pPr>
      <w:r>
        <w:rPr>
          <w:szCs w:val="23"/>
        </w:rPr>
        <w:t>T</w:t>
      </w:r>
      <w:r w:rsidR="00D44308" w:rsidRPr="00A746CB">
        <w:rPr>
          <w:szCs w:val="23"/>
        </w:rPr>
        <w:t xml:space="preserve">he Oligocene magmatics show up to </w:t>
      </w:r>
      <w:r w:rsidR="007C065A">
        <w:rPr>
          <w:szCs w:val="23"/>
        </w:rPr>
        <w:t>ca. 4</w:t>
      </w:r>
      <w:r w:rsidR="004E0D25">
        <w:rPr>
          <w:szCs w:val="23"/>
        </w:rPr>
        <w:t>00</w:t>
      </w:r>
      <w:r w:rsidR="002E4B69">
        <w:rPr>
          <w:szCs w:val="23"/>
        </w:rPr>
        <w:t xml:space="preserve"> </w:t>
      </w:r>
      <w:r w:rsidR="004E0D25">
        <w:rPr>
          <w:szCs w:val="23"/>
        </w:rPr>
        <w:t>km transversely to the SW-N</w:t>
      </w:r>
      <w:r w:rsidR="00D44308" w:rsidRPr="00A746CB">
        <w:rPr>
          <w:szCs w:val="23"/>
        </w:rPr>
        <w:t>E trend of the submerged OAA</w:t>
      </w:r>
      <w:r w:rsidR="004E0D25">
        <w:rPr>
          <w:szCs w:val="23"/>
        </w:rPr>
        <w:t xml:space="preserve"> and European margin</w:t>
      </w:r>
      <w:r>
        <w:rPr>
          <w:szCs w:val="23"/>
        </w:rPr>
        <w:t>, and along the CTFZ</w:t>
      </w:r>
      <w:r w:rsidR="00D44308" w:rsidRPr="00A746CB">
        <w:rPr>
          <w:szCs w:val="23"/>
        </w:rPr>
        <w:t xml:space="preserve"> (see the </w:t>
      </w:r>
      <w:r w:rsidR="00167947">
        <w:rPr>
          <w:szCs w:val="23"/>
        </w:rPr>
        <w:t>distance between</w:t>
      </w:r>
      <w:r w:rsidR="00D44308" w:rsidRPr="00A746CB">
        <w:rPr>
          <w:szCs w:val="23"/>
        </w:rPr>
        <w:t xml:space="preserve"> the sites n. </w:t>
      </w:r>
      <w:r>
        <w:rPr>
          <w:szCs w:val="23"/>
        </w:rPr>
        <w:t>2</w:t>
      </w:r>
      <w:r w:rsidR="002E4B69">
        <w:rPr>
          <w:szCs w:val="23"/>
        </w:rPr>
        <w:t>/4</w:t>
      </w:r>
      <w:r w:rsidR="00D44308" w:rsidRPr="00A746CB">
        <w:rPr>
          <w:szCs w:val="23"/>
        </w:rPr>
        <w:t xml:space="preserve"> and 1</w:t>
      </w:r>
      <w:r w:rsidR="00167947">
        <w:rPr>
          <w:szCs w:val="23"/>
        </w:rPr>
        <w:t>1/13</w:t>
      </w:r>
      <w:r w:rsidR="00D44308" w:rsidRPr="00A746CB">
        <w:rPr>
          <w:szCs w:val="23"/>
        </w:rPr>
        <w:t xml:space="preserve"> of Fig. </w:t>
      </w:r>
      <w:r w:rsidR="00F84EF3">
        <w:rPr>
          <w:szCs w:val="23"/>
        </w:rPr>
        <w:t>2</w:t>
      </w:r>
      <w:r w:rsidR="00D44308" w:rsidRPr="00A746CB">
        <w:rPr>
          <w:szCs w:val="23"/>
        </w:rPr>
        <w:t>/</w:t>
      </w:r>
      <w:r>
        <w:rPr>
          <w:szCs w:val="23"/>
        </w:rPr>
        <w:t>A</w:t>
      </w:r>
      <w:r w:rsidR="00D44308" w:rsidRPr="00A746CB">
        <w:rPr>
          <w:szCs w:val="23"/>
        </w:rPr>
        <w:t>)</w:t>
      </w:r>
      <w:r>
        <w:rPr>
          <w:szCs w:val="23"/>
        </w:rPr>
        <w:t xml:space="preserve"> on one hand.</w:t>
      </w:r>
      <w:r w:rsidR="00D44308" w:rsidRPr="00A746CB">
        <w:rPr>
          <w:szCs w:val="23"/>
        </w:rPr>
        <w:t xml:space="preserve"> </w:t>
      </w:r>
      <w:r>
        <w:rPr>
          <w:szCs w:val="23"/>
        </w:rPr>
        <w:t>On the other hand,</w:t>
      </w:r>
      <w:r w:rsidR="007C065A">
        <w:rPr>
          <w:szCs w:val="23"/>
        </w:rPr>
        <w:t xml:space="preserve"> </w:t>
      </w:r>
      <w:r w:rsidR="00D44308" w:rsidRPr="00A746CB">
        <w:rPr>
          <w:szCs w:val="23"/>
        </w:rPr>
        <w:t xml:space="preserve">the </w:t>
      </w:r>
      <w:r w:rsidR="004E0D25">
        <w:rPr>
          <w:szCs w:val="23"/>
        </w:rPr>
        <w:t>SE-</w:t>
      </w:r>
      <w:r w:rsidR="00796479" w:rsidRPr="00A746CB">
        <w:rPr>
          <w:szCs w:val="23"/>
        </w:rPr>
        <w:t xml:space="preserve">NW trending </w:t>
      </w:r>
      <w:r w:rsidR="00796479">
        <w:rPr>
          <w:szCs w:val="23"/>
        </w:rPr>
        <w:t>volcani</w:t>
      </w:r>
      <w:r w:rsidR="007D7A54">
        <w:rPr>
          <w:szCs w:val="23"/>
        </w:rPr>
        <w:t>c</w:t>
      </w:r>
      <w:r w:rsidR="00D44308" w:rsidRPr="00A746CB">
        <w:rPr>
          <w:szCs w:val="23"/>
        </w:rPr>
        <w:t xml:space="preserve">s of the </w:t>
      </w:r>
      <w:r w:rsidR="00167947">
        <w:rPr>
          <w:szCs w:val="23"/>
        </w:rPr>
        <w:t xml:space="preserve">rotated </w:t>
      </w:r>
      <w:r w:rsidR="00D44308" w:rsidRPr="00A746CB">
        <w:rPr>
          <w:szCs w:val="23"/>
        </w:rPr>
        <w:t xml:space="preserve">Tyrrhenian </w:t>
      </w:r>
      <w:r w:rsidR="004E0D25">
        <w:rPr>
          <w:szCs w:val="23"/>
        </w:rPr>
        <w:t>margin</w:t>
      </w:r>
      <w:r w:rsidR="00D44308" w:rsidRPr="00A746CB">
        <w:rPr>
          <w:szCs w:val="23"/>
        </w:rPr>
        <w:t xml:space="preserve"> </w:t>
      </w:r>
      <w:r>
        <w:rPr>
          <w:szCs w:val="23"/>
        </w:rPr>
        <w:t xml:space="preserve">(&lt; 1 Ma) </w:t>
      </w:r>
      <w:r w:rsidR="00D44308" w:rsidRPr="00A746CB">
        <w:rPr>
          <w:szCs w:val="23"/>
        </w:rPr>
        <w:t>are no more than 100</w:t>
      </w:r>
      <w:r w:rsidR="007C065A">
        <w:rPr>
          <w:szCs w:val="23"/>
        </w:rPr>
        <w:t>-200</w:t>
      </w:r>
      <w:r w:rsidR="00D44308" w:rsidRPr="00A746CB">
        <w:rPr>
          <w:szCs w:val="23"/>
        </w:rPr>
        <w:t xml:space="preserve"> km</w:t>
      </w:r>
      <w:r w:rsidR="00B83B8D" w:rsidRPr="00A746CB">
        <w:rPr>
          <w:szCs w:val="23"/>
        </w:rPr>
        <w:t xml:space="preserve"> wide in </w:t>
      </w:r>
      <w:r w:rsidR="00010DC4">
        <w:rPr>
          <w:szCs w:val="23"/>
        </w:rPr>
        <w:t>across-arc</w:t>
      </w:r>
      <w:r w:rsidR="00B83B8D" w:rsidRPr="00A746CB">
        <w:rPr>
          <w:szCs w:val="23"/>
        </w:rPr>
        <w:t xml:space="preserve"> direction (Fig. </w:t>
      </w:r>
      <w:r w:rsidR="00F84EF3">
        <w:rPr>
          <w:szCs w:val="23"/>
        </w:rPr>
        <w:t>6</w:t>
      </w:r>
      <w:r w:rsidR="00B83B8D" w:rsidRPr="00A746CB">
        <w:rPr>
          <w:szCs w:val="23"/>
        </w:rPr>
        <w:t>)</w:t>
      </w:r>
      <w:r w:rsidR="00D44308" w:rsidRPr="00A746CB">
        <w:rPr>
          <w:szCs w:val="23"/>
        </w:rPr>
        <w:t xml:space="preserve">. In the Burdigalian, basalts </w:t>
      </w:r>
      <w:r w:rsidR="006E3ED4" w:rsidRPr="00A746CB">
        <w:rPr>
          <w:szCs w:val="23"/>
        </w:rPr>
        <w:t>of</w:t>
      </w:r>
      <w:r w:rsidR="00D44308" w:rsidRPr="00A746CB">
        <w:rPr>
          <w:szCs w:val="23"/>
        </w:rPr>
        <w:t xml:space="preserve"> tholeiitic </w:t>
      </w:r>
      <w:r w:rsidR="006E3ED4" w:rsidRPr="00A746CB">
        <w:rPr>
          <w:szCs w:val="23"/>
        </w:rPr>
        <w:t>type</w:t>
      </w:r>
      <w:r w:rsidR="000D1D1E" w:rsidRPr="00A746CB">
        <w:rPr>
          <w:szCs w:val="23"/>
        </w:rPr>
        <w:t xml:space="preserve"> (Fig</w:t>
      </w:r>
      <w:r w:rsidR="003C5FE7">
        <w:rPr>
          <w:szCs w:val="23"/>
        </w:rPr>
        <w:t>s</w:t>
      </w:r>
      <w:r w:rsidR="000D1D1E" w:rsidRPr="00A746CB">
        <w:rPr>
          <w:szCs w:val="23"/>
        </w:rPr>
        <w:t xml:space="preserve">. </w:t>
      </w:r>
      <w:r w:rsidR="00D73D4A">
        <w:rPr>
          <w:szCs w:val="23"/>
        </w:rPr>
        <w:t>2</w:t>
      </w:r>
      <w:r w:rsidR="003C5FE7">
        <w:rPr>
          <w:szCs w:val="23"/>
        </w:rPr>
        <w:t xml:space="preserve">, </w:t>
      </w:r>
      <w:r w:rsidR="00D73D4A">
        <w:rPr>
          <w:szCs w:val="23"/>
        </w:rPr>
        <w:t>5</w:t>
      </w:r>
      <w:r w:rsidR="00D44308" w:rsidRPr="00A746CB">
        <w:rPr>
          <w:szCs w:val="23"/>
        </w:rPr>
        <w:t>) erupt</w:t>
      </w:r>
      <w:r w:rsidR="001E45CC" w:rsidRPr="00A746CB">
        <w:rPr>
          <w:szCs w:val="23"/>
        </w:rPr>
        <w:t>ed</w:t>
      </w:r>
      <w:r w:rsidR="00D44308" w:rsidRPr="00A746CB">
        <w:rPr>
          <w:szCs w:val="23"/>
        </w:rPr>
        <w:t xml:space="preserve"> during peak </w:t>
      </w:r>
      <w:r w:rsidR="003A66C6">
        <w:rPr>
          <w:szCs w:val="23"/>
        </w:rPr>
        <w:t>volcanism</w:t>
      </w:r>
      <w:r w:rsidR="00D44308" w:rsidRPr="00A746CB">
        <w:rPr>
          <w:szCs w:val="23"/>
        </w:rPr>
        <w:t xml:space="preserve">. </w:t>
      </w:r>
      <w:r w:rsidR="000D1D1E" w:rsidRPr="00A746CB">
        <w:rPr>
          <w:szCs w:val="23"/>
        </w:rPr>
        <w:t>On the other hand</w:t>
      </w:r>
      <w:r w:rsidR="00D44308" w:rsidRPr="00A746CB">
        <w:rPr>
          <w:szCs w:val="23"/>
        </w:rPr>
        <w:t xml:space="preserve">, </w:t>
      </w:r>
      <w:r w:rsidR="001E45CC" w:rsidRPr="00A746CB">
        <w:rPr>
          <w:szCs w:val="23"/>
        </w:rPr>
        <w:t>seafloor arc</w:t>
      </w:r>
      <w:r w:rsidR="00D44308" w:rsidRPr="00A746CB">
        <w:rPr>
          <w:szCs w:val="23"/>
        </w:rPr>
        <w:t xml:space="preserve"> tholeiites (ca. 1 Ma</w:t>
      </w:r>
      <w:r w:rsidR="00CC5633">
        <w:rPr>
          <w:szCs w:val="23"/>
        </w:rPr>
        <w:t>)</w:t>
      </w:r>
      <w:r w:rsidR="00D44308" w:rsidRPr="00A746CB">
        <w:rPr>
          <w:szCs w:val="23"/>
        </w:rPr>
        <w:t xml:space="preserve"> pre-date the acme of </w:t>
      </w:r>
      <w:r w:rsidR="003A66C6">
        <w:rPr>
          <w:szCs w:val="23"/>
        </w:rPr>
        <w:t xml:space="preserve">the </w:t>
      </w:r>
      <w:r w:rsidR="00D44308" w:rsidRPr="00A746CB">
        <w:rPr>
          <w:szCs w:val="23"/>
        </w:rPr>
        <w:t xml:space="preserve">Aeolian </w:t>
      </w:r>
      <w:r w:rsidR="003A66C6">
        <w:rPr>
          <w:szCs w:val="23"/>
        </w:rPr>
        <w:t>island</w:t>
      </w:r>
      <w:r w:rsidR="001E45CC" w:rsidRPr="00A746CB">
        <w:rPr>
          <w:szCs w:val="23"/>
        </w:rPr>
        <w:t xml:space="preserve"> </w:t>
      </w:r>
      <w:r w:rsidR="00D44308" w:rsidRPr="00A746CB">
        <w:rPr>
          <w:szCs w:val="23"/>
        </w:rPr>
        <w:t>volcan</w:t>
      </w:r>
      <w:r w:rsidR="001E45CC" w:rsidRPr="00A746CB">
        <w:rPr>
          <w:szCs w:val="23"/>
        </w:rPr>
        <w:t>i</w:t>
      </w:r>
      <w:r w:rsidR="00D44308" w:rsidRPr="00A746CB">
        <w:rPr>
          <w:szCs w:val="23"/>
        </w:rPr>
        <w:t>s</w:t>
      </w:r>
      <w:r w:rsidR="001E45CC" w:rsidRPr="00A746CB">
        <w:rPr>
          <w:szCs w:val="23"/>
        </w:rPr>
        <w:t>m</w:t>
      </w:r>
      <w:r w:rsidR="00CC5633">
        <w:rPr>
          <w:szCs w:val="23"/>
        </w:rPr>
        <w:t xml:space="preserve"> (ca. 0.2 Ma)</w:t>
      </w:r>
      <w:r w:rsidR="008D2914" w:rsidRPr="00A746CB">
        <w:rPr>
          <w:szCs w:val="23"/>
        </w:rPr>
        <w:t>.</w:t>
      </w:r>
    </w:p>
    <w:p w:rsidR="00053342" w:rsidRPr="00A746CB" w:rsidRDefault="00B61D66" w:rsidP="00C83783">
      <w:pPr>
        <w:spacing w:line="240" w:lineRule="auto"/>
        <w:ind w:firstLine="720"/>
        <w:rPr>
          <w:szCs w:val="23"/>
        </w:rPr>
      </w:pPr>
      <w:r>
        <w:rPr>
          <w:noProof/>
          <w:szCs w:val="23"/>
          <w:lang w:val="it-IT" w:eastAsia="it-IT"/>
        </w:rPr>
        <w:lastRenderedPageBreak/>
        <w:drawing>
          <wp:inline distT="0" distB="0" distL="0" distR="0">
            <wp:extent cx="5731510" cy="8110855"/>
            <wp:effectExtent l="19050" t="0" r="2540" b="0"/>
            <wp:docPr id="15" name="Immagine 14" descr="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13" cstate="print"/>
                    <a:stretch>
                      <a:fillRect/>
                    </a:stretch>
                  </pic:blipFill>
                  <pic:spPr>
                    <a:xfrm>
                      <a:off x="0" y="0"/>
                      <a:ext cx="5731510" cy="8110855"/>
                    </a:xfrm>
                    <a:prstGeom prst="rect">
                      <a:avLst/>
                    </a:prstGeom>
                  </pic:spPr>
                </pic:pic>
              </a:graphicData>
            </a:graphic>
          </wp:inline>
        </w:drawing>
      </w:r>
    </w:p>
    <w:p w:rsidR="000832B4" w:rsidRDefault="000832B4" w:rsidP="000832B4">
      <w:pPr>
        <w:pStyle w:val="Testonormale"/>
        <w:spacing w:line="240" w:lineRule="auto"/>
        <w:jc w:val="both"/>
        <w:rPr>
          <w:rFonts w:ascii="Times New Roman" w:hAnsi="Times New Roman" w:cs="Times New Roman"/>
          <w:iCs/>
          <w:lang w:val="en-GB"/>
        </w:rPr>
      </w:pPr>
      <w:r w:rsidRPr="000832B4">
        <w:rPr>
          <w:rFonts w:ascii="Times New Roman" w:hAnsi="Times New Roman" w:cs="Times New Roman"/>
          <w:b/>
          <w:iCs/>
          <w:lang w:val="en-GB"/>
        </w:rPr>
        <w:t xml:space="preserve">Figure </w:t>
      </w:r>
      <w:r w:rsidR="00D73D4A">
        <w:rPr>
          <w:rFonts w:ascii="Times New Roman" w:hAnsi="Times New Roman" w:cs="Times New Roman"/>
          <w:b/>
          <w:iCs/>
          <w:lang w:val="en-GB"/>
        </w:rPr>
        <w:t>6</w:t>
      </w:r>
      <w:r w:rsidRPr="000832B4">
        <w:rPr>
          <w:rFonts w:ascii="Times New Roman" w:hAnsi="Times New Roman" w:cs="Times New Roman"/>
          <w:iCs/>
          <w:lang w:val="en-GB"/>
        </w:rPr>
        <w:t xml:space="preserve">. </w:t>
      </w:r>
      <w:r w:rsidR="002E4B69">
        <w:rPr>
          <w:rFonts w:ascii="Times New Roman" w:hAnsi="Times New Roman" w:cs="Times New Roman"/>
          <w:iCs/>
          <w:lang w:val="en-GB"/>
        </w:rPr>
        <w:t>D</w:t>
      </w:r>
      <w:r w:rsidR="002E4B69" w:rsidRPr="000832B4">
        <w:rPr>
          <w:rFonts w:ascii="Times New Roman" w:hAnsi="Times New Roman" w:cs="Times New Roman"/>
          <w:iCs/>
          <w:lang w:val="en-GB"/>
        </w:rPr>
        <w:t xml:space="preserve">istribution </w:t>
      </w:r>
      <w:r w:rsidR="002E4B69">
        <w:rPr>
          <w:rFonts w:ascii="Times New Roman" w:hAnsi="Times New Roman" w:cs="Times New Roman"/>
          <w:iCs/>
          <w:lang w:val="en-GB"/>
        </w:rPr>
        <w:t>s</w:t>
      </w:r>
      <w:r w:rsidRPr="000832B4">
        <w:rPr>
          <w:rFonts w:ascii="Times New Roman" w:hAnsi="Times New Roman" w:cs="Times New Roman"/>
          <w:iCs/>
          <w:lang w:val="en-GB"/>
        </w:rPr>
        <w:t>chem</w:t>
      </w:r>
      <w:r w:rsidR="002E4B69">
        <w:rPr>
          <w:rFonts w:ascii="Times New Roman" w:hAnsi="Times New Roman" w:cs="Times New Roman"/>
          <w:iCs/>
          <w:lang w:val="en-GB"/>
        </w:rPr>
        <w:t>e</w:t>
      </w:r>
      <w:r w:rsidRPr="000832B4">
        <w:rPr>
          <w:rFonts w:ascii="Times New Roman" w:hAnsi="Times New Roman" w:cs="Times New Roman"/>
          <w:iCs/>
          <w:lang w:val="en-GB"/>
        </w:rPr>
        <w:t xml:space="preserve"> </w:t>
      </w:r>
      <w:r w:rsidR="002E4B69">
        <w:rPr>
          <w:rFonts w:ascii="Times New Roman" w:hAnsi="Times New Roman" w:cs="Times New Roman"/>
          <w:iCs/>
          <w:lang w:val="en-GB"/>
        </w:rPr>
        <w:t xml:space="preserve">showing the </w:t>
      </w:r>
      <w:r w:rsidRPr="000832B4">
        <w:rPr>
          <w:rFonts w:ascii="Times New Roman" w:hAnsi="Times New Roman" w:cs="Times New Roman"/>
          <w:iCs/>
          <w:lang w:val="en-GB"/>
        </w:rPr>
        <w:t xml:space="preserve">“in situ” magmatics of the Tyrrhenian region and surroundings. Legend: </w:t>
      </w:r>
      <w:r w:rsidRPr="000832B4">
        <w:rPr>
          <w:rFonts w:ascii="Times New Roman" w:hAnsi="Times New Roman" w:cs="Times New Roman"/>
          <w:b/>
          <w:iCs/>
          <w:lang w:val="en-GB"/>
        </w:rPr>
        <w:t>1</w:t>
      </w:r>
      <w:r w:rsidRPr="000832B4">
        <w:rPr>
          <w:rFonts w:ascii="Times New Roman" w:hAnsi="Times New Roman" w:cs="Times New Roman"/>
          <w:iCs/>
          <w:lang w:val="en-GB"/>
        </w:rPr>
        <w:t xml:space="preserve"> = calc-alkaline volcanics </w:t>
      </w:r>
      <w:r w:rsidR="005D63FF">
        <w:rPr>
          <w:rFonts w:ascii="Times New Roman" w:hAnsi="Times New Roman" w:cs="Times New Roman"/>
          <w:iCs/>
          <w:lang w:val="en-GB"/>
        </w:rPr>
        <w:t>erupted</w:t>
      </w:r>
      <w:r w:rsidRPr="000832B4">
        <w:rPr>
          <w:rFonts w:ascii="Times New Roman" w:hAnsi="Times New Roman" w:cs="Times New Roman"/>
          <w:iCs/>
          <w:lang w:val="en-GB"/>
        </w:rPr>
        <w:t xml:space="preserve"> between ca. 33/32 and 12 Ma; </w:t>
      </w:r>
      <w:r w:rsidRPr="000832B4">
        <w:rPr>
          <w:rFonts w:ascii="Times New Roman" w:hAnsi="Times New Roman" w:cs="Times New Roman"/>
          <w:b/>
          <w:iCs/>
          <w:lang w:val="en-GB"/>
        </w:rPr>
        <w:t>2</w:t>
      </w:r>
      <w:r w:rsidRPr="000832B4">
        <w:rPr>
          <w:rFonts w:ascii="Times New Roman" w:hAnsi="Times New Roman" w:cs="Times New Roman"/>
          <w:iCs/>
          <w:lang w:val="en-GB"/>
        </w:rPr>
        <w:t xml:space="preserve"> = oceanic spreading of Vavilov bathyal plain (ca. 7.5 - 6.3 Ma; DSDP site 373, see </w:t>
      </w:r>
      <w:r w:rsidRPr="000832B4">
        <w:rPr>
          <w:rFonts w:ascii="Times New Roman" w:hAnsi="Times New Roman" w:cs="Times New Roman"/>
          <w:iCs/>
          <w:u w:val="single"/>
          <w:lang w:val="en-GB"/>
        </w:rPr>
        <w:t>*</w:t>
      </w:r>
      <w:r w:rsidRPr="000832B4">
        <w:rPr>
          <w:rFonts w:ascii="Times New Roman" w:hAnsi="Times New Roman" w:cs="Times New Roman"/>
          <w:iCs/>
          <w:lang w:val="en-GB"/>
        </w:rPr>
        <w:t xml:space="preserve">); </w:t>
      </w:r>
      <w:r w:rsidRPr="000832B4">
        <w:rPr>
          <w:rFonts w:ascii="Times New Roman" w:hAnsi="Times New Roman" w:cs="Times New Roman"/>
          <w:b/>
          <w:iCs/>
          <w:lang w:val="en-GB"/>
        </w:rPr>
        <w:t>3</w:t>
      </w:r>
      <w:r w:rsidRPr="000832B4">
        <w:rPr>
          <w:rFonts w:ascii="Times New Roman" w:hAnsi="Times New Roman" w:cs="Times New Roman"/>
          <w:iCs/>
          <w:lang w:val="en-GB"/>
        </w:rPr>
        <w:t xml:space="preserve"> = post-orogenic granitoids of the north Tyrrhenian (ca. 8 to 6 Ma, late Miocene); </w:t>
      </w:r>
      <w:r w:rsidRPr="000832B4">
        <w:rPr>
          <w:rFonts w:ascii="Times New Roman" w:hAnsi="Times New Roman" w:cs="Times New Roman"/>
          <w:b/>
          <w:iCs/>
          <w:lang w:val="en-GB"/>
        </w:rPr>
        <w:t>4</w:t>
      </w:r>
      <w:r w:rsidR="005D63FF">
        <w:rPr>
          <w:rFonts w:ascii="Times New Roman" w:hAnsi="Times New Roman" w:cs="Times New Roman"/>
          <w:iCs/>
          <w:lang w:val="en-GB"/>
        </w:rPr>
        <w:t xml:space="preserve"> = magmatics erup</w:t>
      </w:r>
      <w:r w:rsidRPr="000832B4">
        <w:rPr>
          <w:rFonts w:ascii="Times New Roman" w:hAnsi="Times New Roman" w:cs="Times New Roman"/>
          <w:iCs/>
          <w:lang w:val="en-GB"/>
        </w:rPr>
        <w:t xml:space="preserve">ted between ca. 5 and 2 Ma (Pliocene); </w:t>
      </w:r>
      <w:r w:rsidRPr="000832B4">
        <w:rPr>
          <w:rFonts w:ascii="Times New Roman" w:hAnsi="Times New Roman" w:cs="Times New Roman"/>
          <w:b/>
          <w:iCs/>
          <w:lang w:val="en-GB"/>
        </w:rPr>
        <w:t>5</w:t>
      </w:r>
      <w:r w:rsidRPr="000832B4">
        <w:rPr>
          <w:rFonts w:ascii="Times New Roman" w:hAnsi="Times New Roman" w:cs="Times New Roman"/>
          <w:iCs/>
          <w:lang w:val="en-GB"/>
        </w:rPr>
        <w:t xml:space="preserve"> = oceanic spreading of Marsili bathyal plain (ca. 1.87 - 1.67 Ma; ODP site 650, see </w:t>
      </w:r>
      <w:r w:rsidRPr="000832B4">
        <w:rPr>
          <w:rFonts w:ascii="Times New Roman" w:hAnsi="Times New Roman" w:cs="Times New Roman"/>
          <w:iCs/>
          <w:u w:val="single"/>
          <w:lang w:val="en-GB"/>
        </w:rPr>
        <w:t>*</w:t>
      </w:r>
      <w:r w:rsidRPr="000832B4">
        <w:rPr>
          <w:rFonts w:ascii="Times New Roman" w:hAnsi="Times New Roman" w:cs="Times New Roman"/>
          <w:iCs/>
          <w:lang w:val="en-GB"/>
        </w:rPr>
        <w:t xml:space="preserve">); </w:t>
      </w:r>
      <w:r w:rsidRPr="000832B4">
        <w:rPr>
          <w:rFonts w:ascii="Times New Roman" w:hAnsi="Times New Roman" w:cs="Times New Roman"/>
          <w:b/>
          <w:iCs/>
          <w:lang w:val="en-GB"/>
        </w:rPr>
        <w:t>6</w:t>
      </w:r>
      <w:r w:rsidRPr="000832B4">
        <w:rPr>
          <w:rFonts w:ascii="Times New Roman" w:hAnsi="Times New Roman" w:cs="Times New Roman"/>
          <w:iCs/>
          <w:lang w:val="en-GB"/>
        </w:rPr>
        <w:t xml:space="preserve"> = &lt;1.2 Ma volcanics (Quaternary). </w:t>
      </w:r>
      <w:r w:rsidRPr="000832B4">
        <w:rPr>
          <w:rFonts w:ascii="Times New Roman" w:hAnsi="Times New Roman" w:cs="Times New Roman"/>
          <w:b/>
          <w:iCs/>
          <w:lang w:val="en-GB"/>
        </w:rPr>
        <w:t>an</w:t>
      </w:r>
      <w:r w:rsidRPr="000832B4">
        <w:rPr>
          <w:rFonts w:ascii="Times New Roman" w:hAnsi="Times New Roman" w:cs="Times New Roman"/>
          <w:iCs/>
          <w:lang w:val="en-GB"/>
        </w:rPr>
        <w:t xml:space="preserve"> = </w:t>
      </w:r>
      <w:r w:rsidR="00BD7D1F">
        <w:rPr>
          <w:rFonts w:ascii="Times New Roman" w:hAnsi="Times New Roman" w:cs="Times New Roman"/>
          <w:iCs/>
          <w:lang w:val="en-GB"/>
        </w:rPr>
        <w:t>magmatics</w:t>
      </w:r>
      <w:r w:rsidRPr="000832B4">
        <w:rPr>
          <w:rFonts w:ascii="Times New Roman" w:hAnsi="Times New Roman" w:cs="Times New Roman"/>
          <w:iCs/>
          <w:lang w:val="en-GB"/>
        </w:rPr>
        <w:t xml:space="preserve"> exhibit</w:t>
      </w:r>
      <w:r w:rsidR="00BD7D1F">
        <w:rPr>
          <w:rFonts w:ascii="Times New Roman" w:hAnsi="Times New Roman" w:cs="Times New Roman"/>
          <w:iCs/>
          <w:lang w:val="en-GB"/>
        </w:rPr>
        <w:t>ing</w:t>
      </w:r>
      <w:r w:rsidRPr="000832B4">
        <w:rPr>
          <w:rFonts w:ascii="Times New Roman" w:hAnsi="Times New Roman" w:cs="Times New Roman"/>
          <w:iCs/>
          <w:lang w:val="en-GB"/>
        </w:rPr>
        <w:t xml:space="preserve"> a</w:t>
      </w:r>
      <w:r w:rsidR="005D63FF">
        <w:rPr>
          <w:rFonts w:ascii="Times New Roman" w:hAnsi="Times New Roman" w:cs="Times New Roman"/>
          <w:iCs/>
          <w:lang w:val="en-GB"/>
        </w:rPr>
        <w:t>lkaline</w:t>
      </w:r>
      <w:r w:rsidRPr="000832B4">
        <w:rPr>
          <w:rFonts w:ascii="Times New Roman" w:hAnsi="Times New Roman" w:cs="Times New Roman"/>
          <w:iCs/>
          <w:lang w:val="en-GB"/>
        </w:rPr>
        <w:t xml:space="preserve"> (intraplate, OIB) character</w:t>
      </w:r>
      <w:r w:rsidR="00BD7D1F">
        <w:rPr>
          <w:rFonts w:ascii="Times New Roman" w:hAnsi="Times New Roman" w:cs="Times New Roman"/>
          <w:iCs/>
          <w:lang w:val="en-GB"/>
        </w:rPr>
        <w:t>,</w:t>
      </w:r>
      <w:r w:rsidR="00BD7D1F" w:rsidRPr="00BD7D1F">
        <w:rPr>
          <w:rFonts w:ascii="Times New Roman" w:hAnsi="Times New Roman" w:cs="Times New Roman"/>
          <w:iCs/>
          <w:lang w:val="en-GB"/>
        </w:rPr>
        <w:t xml:space="preserve"> </w:t>
      </w:r>
      <w:r w:rsidR="00BD7D1F">
        <w:rPr>
          <w:rFonts w:ascii="Times New Roman" w:hAnsi="Times New Roman" w:cs="Times New Roman"/>
          <w:iCs/>
          <w:lang w:val="en-GB"/>
        </w:rPr>
        <w:t xml:space="preserve">and </w:t>
      </w:r>
      <w:r w:rsidR="00BD7D1F" w:rsidRPr="000832B4">
        <w:rPr>
          <w:rFonts w:ascii="Times New Roman" w:hAnsi="Times New Roman" w:cs="Times New Roman"/>
          <w:iCs/>
          <w:lang w:val="en-GB"/>
        </w:rPr>
        <w:t xml:space="preserve">Pliocene </w:t>
      </w:r>
      <w:r w:rsidR="00BD7D1F">
        <w:rPr>
          <w:rFonts w:ascii="Times New Roman" w:hAnsi="Times New Roman" w:cs="Times New Roman"/>
          <w:iCs/>
          <w:lang w:val="en-GB"/>
        </w:rPr>
        <w:t>to</w:t>
      </w:r>
      <w:r w:rsidR="00BD7D1F" w:rsidRPr="000832B4">
        <w:rPr>
          <w:rFonts w:ascii="Times New Roman" w:hAnsi="Times New Roman" w:cs="Times New Roman"/>
          <w:iCs/>
          <w:lang w:val="en-GB"/>
        </w:rPr>
        <w:t xml:space="preserve"> Quaternary</w:t>
      </w:r>
      <w:r w:rsidR="00BD7D1F">
        <w:rPr>
          <w:rFonts w:ascii="Times New Roman" w:hAnsi="Times New Roman" w:cs="Times New Roman"/>
          <w:iCs/>
          <w:lang w:val="en-GB"/>
        </w:rPr>
        <w:t xml:space="preserve"> age</w:t>
      </w:r>
      <w:r w:rsidRPr="000832B4">
        <w:rPr>
          <w:rFonts w:ascii="Times New Roman" w:hAnsi="Times New Roman" w:cs="Times New Roman"/>
          <w:iCs/>
          <w:lang w:val="en-GB"/>
        </w:rPr>
        <w:t xml:space="preserve">. In Capraia island, Nefza area and Iblei mounts are present also volcanics of late Miocene age. Abbreviations: A = Algeria, Ace = seamount Aceste, Anc= seamount Anchise, Ca = Capraia island, Co = Corsica, E = Elba island, G = Gortani ridge (ODP site 655), Gi = Giglio island, M-O = Montecatini V/C - Orciatico, Mag = seamount Magnaghi, MB = Marsili basin, Ne = Nefza area, P = ocean-floor peridotite (ODP site 651), Po = Ponza and Palmarola islands, Pr = Provence, S = Sardinia, Si = Sisco; T = Tunisia, To = Tolfa, V = Vercelli seamount, VB = Vavilov basin, Ves = Vesuvius - Campi Flegrei, Vul = M. Vulture. Dotted line shows the position of lithosphere-asthenosphere section of Fig. </w:t>
      </w:r>
      <w:r w:rsidR="00010DC4">
        <w:rPr>
          <w:rFonts w:ascii="Times New Roman" w:hAnsi="Times New Roman" w:cs="Times New Roman"/>
          <w:iCs/>
          <w:lang w:val="en-GB"/>
        </w:rPr>
        <w:t>7</w:t>
      </w:r>
      <w:r w:rsidRPr="000832B4">
        <w:rPr>
          <w:rFonts w:ascii="Times New Roman" w:hAnsi="Times New Roman" w:cs="Times New Roman"/>
          <w:iCs/>
          <w:lang w:val="en-GB"/>
        </w:rPr>
        <w:t>/B.</w:t>
      </w:r>
    </w:p>
    <w:p w:rsidR="008D338E" w:rsidRPr="000832B4" w:rsidRDefault="008D338E" w:rsidP="000832B4">
      <w:pPr>
        <w:pStyle w:val="Testonormale"/>
        <w:spacing w:line="240" w:lineRule="auto"/>
        <w:jc w:val="both"/>
        <w:rPr>
          <w:rFonts w:ascii="Times New Roman" w:hAnsi="Times New Roman" w:cs="Times New Roman"/>
          <w:bCs/>
          <w:lang w:val="en-GB"/>
        </w:rPr>
      </w:pPr>
    </w:p>
    <w:p w:rsidR="001C52DF" w:rsidRDefault="008D338E" w:rsidP="00D63C2A">
      <w:pPr>
        <w:spacing w:line="240" w:lineRule="auto"/>
        <w:rPr>
          <w:i/>
          <w:shadow/>
          <w:szCs w:val="23"/>
          <w:u w:val="single"/>
        </w:rPr>
      </w:pPr>
      <w:r w:rsidRPr="008D338E">
        <w:rPr>
          <w:i/>
          <w:shadow/>
          <w:noProof/>
          <w:szCs w:val="23"/>
          <w:u w:val="single"/>
          <w:lang w:val="it-IT" w:eastAsia="it-IT"/>
        </w:rPr>
        <w:lastRenderedPageBreak/>
        <w:drawing>
          <wp:inline distT="0" distB="0" distL="0" distR="0">
            <wp:extent cx="5200650" cy="6645756"/>
            <wp:effectExtent l="19050" t="0" r="0" b="0"/>
            <wp:docPr id="17" name="Immagine 6"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8"/>
                    <pic:cNvPicPr>
                      <a:picLocks noChangeAspect="1" noChangeArrowheads="1"/>
                    </pic:cNvPicPr>
                  </pic:nvPicPr>
                  <pic:blipFill>
                    <a:blip r:embed="rId14" cstate="print"/>
                    <a:srcRect/>
                    <a:stretch>
                      <a:fillRect/>
                    </a:stretch>
                  </pic:blipFill>
                  <pic:spPr bwMode="auto">
                    <a:xfrm>
                      <a:off x="0" y="0"/>
                      <a:ext cx="5200650" cy="6645756"/>
                    </a:xfrm>
                    <a:prstGeom prst="rect">
                      <a:avLst/>
                    </a:prstGeom>
                    <a:noFill/>
                    <a:ln w="9525">
                      <a:noFill/>
                      <a:miter lim="800000"/>
                      <a:headEnd/>
                      <a:tailEnd/>
                    </a:ln>
                  </pic:spPr>
                </pic:pic>
              </a:graphicData>
            </a:graphic>
          </wp:inline>
        </w:drawing>
      </w:r>
    </w:p>
    <w:p w:rsidR="001C52DF" w:rsidRPr="00F072E3" w:rsidRDefault="001C52DF" w:rsidP="007D2460">
      <w:pPr>
        <w:pStyle w:val="Testonormale"/>
        <w:spacing w:line="240" w:lineRule="auto"/>
        <w:jc w:val="both"/>
        <w:rPr>
          <w:rFonts w:ascii="Times New Roman" w:hAnsi="Times New Roman" w:cs="Times New Roman"/>
          <w:iCs/>
          <w:lang w:val="en-GB"/>
        </w:rPr>
      </w:pPr>
      <w:r w:rsidRPr="00F072E3">
        <w:rPr>
          <w:rFonts w:ascii="Times New Roman" w:hAnsi="Times New Roman" w:cs="Times New Roman"/>
          <w:b/>
          <w:iCs/>
          <w:lang w:val="en-GB"/>
        </w:rPr>
        <w:t xml:space="preserve">Figure </w:t>
      </w:r>
      <w:r w:rsidR="00D73D4A">
        <w:rPr>
          <w:rFonts w:ascii="Times New Roman" w:hAnsi="Times New Roman" w:cs="Times New Roman"/>
          <w:b/>
          <w:iCs/>
          <w:lang w:val="en-GB"/>
        </w:rPr>
        <w:t>7</w:t>
      </w:r>
      <w:r w:rsidRPr="00F072E3">
        <w:rPr>
          <w:rFonts w:ascii="Times New Roman" w:hAnsi="Times New Roman" w:cs="Times New Roman"/>
          <w:iCs/>
          <w:lang w:val="en-GB"/>
        </w:rPr>
        <w:t>. Schematic lithosphere-scale cross sections:</w:t>
      </w:r>
      <w:r w:rsidRPr="00F072E3">
        <w:rPr>
          <w:rFonts w:ascii="Times New Roman" w:hAnsi="Times New Roman" w:cs="Times New Roman"/>
          <w:b/>
          <w:iCs/>
          <w:lang w:val="en-GB"/>
        </w:rPr>
        <w:t xml:space="preserve"> A</w:t>
      </w:r>
      <w:r w:rsidRPr="00F072E3">
        <w:rPr>
          <w:rFonts w:ascii="Times New Roman" w:hAnsi="Times New Roman" w:cs="Times New Roman"/>
          <w:iCs/>
          <w:lang w:val="en-GB"/>
        </w:rPr>
        <w:t>), from Provence (France) to the Ionian area (location in Fig. 3/B); the oceanic spreading of Burdigalian age (between ca. 20 and 16 Ma) produced the Sardinia-Provencal basin (</w:t>
      </w:r>
      <w:r w:rsidRPr="00F072E3">
        <w:rPr>
          <w:rFonts w:ascii="Times New Roman" w:hAnsi="Times New Roman" w:cs="Times New Roman"/>
          <w:b/>
          <w:iCs/>
          <w:lang w:val="en-GB"/>
        </w:rPr>
        <w:t>Sa-Pr</w:t>
      </w:r>
      <w:r w:rsidRPr="00F072E3">
        <w:rPr>
          <w:rFonts w:ascii="Times New Roman" w:hAnsi="Times New Roman" w:cs="Times New Roman"/>
          <w:iCs/>
          <w:lang w:val="en-GB"/>
        </w:rPr>
        <w:t xml:space="preserve">; European plate); </w:t>
      </w:r>
      <w:r w:rsidRPr="00F072E3">
        <w:rPr>
          <w:rFonts w:ascii="Times New Roman" w:hAnsi="Times New Roman" w:cs="Times New Roman"/>
          <w:b/>
          <w:iCs/>
          <w:lang w:val="en-GB"/>
        </w:rPr>
        <w:t>B</w:t>
      </w:r>
      <w:r w:rsidRPr="00F072E3">
        <w:rPr>
          <w:rFonts w:ascii="Times New Roman" w:hAnsi="Times New Roman" w:cs="Times New Roman"/>
          <w:iCs/>
          <w:lang w:val="en-GB"/>
        </w:rPr>
        <w:t>), from Sardinia to the Vavilov - Marsili</w:t>
      </w:r>
      <w:r w:rsidRPr="00F072E3">
        <w:rPr>
          <w:rFonts w:ascii="Times New Roman" w:hAnsi="Times New Roman" w:cs="Times New Roman"/>
          <w:b/>
          <w:iCs/>
          <w:lang w:val="en-GB"/>
        </w:rPr>
        <w:t xml:space="preserve"> </w:t>
      </w:r>
      <w:r w:rsidRPr="00F072E3">
        <w:rPr>
          <w:rFonts w:ascii="Times New Roman" w:hAnsi="Times New Roman" w:cs="Times New Roman"/>
          <w:iCs/>
          <w:lang w:val="en-GB"/>
        </w:rPr>
        <w:t>oceanic basins and the Ionian (location in Fig. 6). AM = asthenospheric mantle, LM = lithospheric mantle, MORB = Mid-Ocean-Ridge-Basalt magma source in AM, ANOR = Anorogenic (intraplate, ocean-island-basalt) magma source in AM. It has here been assumed that the past lithosphere thickness of the Alpine-Betic orogen was comparable to that of nowadays Alps</w:t>
      </w:r>
      <w:r w:rsidR="00A86148">
        <w:rPr>
          <w:rFonts w:ascii="Times New Roman" w:hAnsi="Times New Roman" w:cs="Times New Roman"/>
          <w:iCs/>
          <w:lang w:val="en-GB"/>
        </w:rPr>
        <w:t>.</w:t>
      </w:r>
      <w:r w:rsidRPr="00F072E3">
        <w:rPr>
          <w:rFonts w:ascii="Times New Roman" w:hAnsi="Times New Roman" w:cs="Times New Roman"/>
          <w:iCs/>
          <w:lang w:val="en-GB"/>
        </w:rPr>
        <w:t xml:space="preserve"> Emplacement of the calc-alkaline magmas before start of WNW-directed subduction implies that the metasomatic modification of the corresponding igneous sources has been produced by lithosphere shortening of Hercynian or Alpine age. Because the orogenic accretion processes are repeated in time, Hercynian remnants are likely present in the metasomatized bodies of Alpine-age, and Alpine remnants in the bodies of Apennine-age.</w:t>
      </w:r>
    </w:p>
    <w:p w:rsidR="001C52DF" w:rsidRPr="001C52DF" w:rsidRDefault="001C52DF" w:rsidP="00D63C2A">
      <w:pPr>
        <w:spacing w:line="240" w:lineRule="auto"/>
        <w:rPr>
          <w:shadow/>
          <w:szCs w:val="23"/>
          <w:u w:val="single"/>
        </w:rPr>
      </w:pPr>
    </w:p>
    <w:p w:rsidR="00D44308" w:rsidRPr="00A746CB" w:rsidRDefault="00D44308" w:rsidP="00D63C2A">
      <w:pPr>
        <w:spacing w:line="240" w:lineRule="auto"/>
        <w:rPr>
          <w:shadow/>
          <w:szCs w:val="23"/>
          <w:u w:val="single"/>
        </w:rPr>
      </w:pPr>
      <w:r w:rsidRPr="00A746CB">
        <w:rPr>
          <w:i/>
          <w:shadow/>
          <w:szCs w:val="23"/>
          <w:u w:val="single"/>
        </w:rPr>
        <w:t>Start of WNW-directed subduction</w:t>
      </w:r>
      <w:r w:rsidRPr="00A746CB">
        <w:rPr>
          <w:shadow/>
          <w:szCs w:val="23"/>
          <w:u w:val="single"/>
        </w:rPr>
        <w:t xml:space="preserve"> </w:t>
      </w:r>
    </w:p>
    <w:p w:rsidR="00D44308" w:rsidRDefault="00DF0D05" w:rsidP="00320617">
      <w:pPr>
        <w:spacing w:line="240" w:lineRule="auto"/>
        <w:ind w:firstLine="720"/>
        <w:rPr>
          <w:szCs w:val="23"/>
        </w:rPr>
      </w:pPr>
      <w:r w:rsidRPr="00A746CB">
        <w:rPr>
          <w:szCs w:val="23"/>
        </w:rPr>
        <w:t>The above mentioned</w:t>
      </w:r>
      <w:r w:rsidR="00D44308" w:rsidRPr="00A746CB">
        <w:rPr>
          <w:szCs w:val="23"/>
        </w:rPr>
        <w:t xml:space="preserve"> space-time aspects indicate that the Burdigalian opening on one side, and those of the late Miocene and late Pliocene on the other, are probabl</w:t>
      </w:r>
      <w:r w:rsidR="009B0854">
        <w:rPr>
          <w:szCs w:val="23"/>
        </w:rPr>
        <w:t xml:space="preserve">y linked to clearly distinct </w:t>
      </w:r>
      <w:r w:rsidR="001E45CC" w:rsidRPr="00A746CB">
        <w:rPr>
          <w:szCs w:val="23"/>
        </w:rPr>
        <w:t>tecton</w:t>
      </w:r>
      <w:r w:rsidR="00D44308" w:rsidRPr="00A746CB">
        <w:rPr>
          <w:szCs w:val="23"/>
        </w:rPr>
        <w:t xml:space="preserve">ic environment. This reconstruction considers that the WNW subduction was commenced </w:t>
      </w:r>
      <w:r w:rsidR="004F57C7">
        <w:rPr>
          <w:szCs w:val="23"/>
        </w:rPr>
        <w:t xml:space="preserve">at </w:t>
      </w:r>
      <w:r w:rsidR="00D44308" w:rsidRPr="00A746CB">
        <w:rPr>
          <w:szCs w:val="23"/>
        </w:rPr>
        <w:t>ca. 16/15 Ma (Burdigalian</w:t>
      </w:r>
      <w:r w:rsidR="004F57C7">
        <w:rPr>
          <w:szCs w:val="23"/>
        </w:rPr>
        <w:t>-</w:t>
      </w:r>
      <w:r w:rsidR="00D44308" w:rsidRPr="00A746CB">
        <w:rPr>
          <w:szCs w:val="23"/>
        </w:rPr>
        <w:t>Langhian</w:t>
      </w:r>
      <w:r w:rsidR="004F57C7">
        <w:rPr>
          <w:szCs w:val="23"/>
        </w:rPr>
        <w:t xml:space="preserve"> transition</w:t>
      </w:r>
      <w:r w:rsidR="00D9557C" w:rsidRPr="00A746CB">
        <w:rPr>
          <w:szCs w:val="23"/>
        </w:rPr>
        <w:t xml:space="preserve">; Fig. </w:t>
      </w:r>
      <w:r w:rsidR="00D73D4A">
        <w:rPr>
          <w:szCs w:val="23"/>
        </w:rPr>
        <w:t>2</w:t>
      </w:r>
      <w:r w:rsidR="00D9557C" w:rsidRPr="00A746CB">
        <w:rPr>
          <w:szCs w:val="23"/>
        </w:rPr>
        <w:t>/B</w:t>
      </w:r>
      <w:r w:rsidR="00D44308" w:rsidRPr="00A746CB">
        <w:rPr>
          <w:szCs w:val="23"/>
        </w:rPr>
        <w:t xml:space="preserve">), after the </w:t>
      </w:r>
      <w:r w:rsidRPr="00A746CB">
        <w:rPr>
          <w:szCs w:val="23"/>
        </w:rPr>
        <w:t xml:space="preserve">clearly distinct </w:t>
      </w:r>
      <w:r w:rsidR="00CA4E27">
        <w:rPr>
          <w:szCs w:val="23"/>
        </w:rPr>
        <w:t>episodes</w:t>
      </w:r>
      <w:r w:rsidR="00D44308" w:rsidRPr="00A746CB">
        <w:rPr>
          <w:szCs w:val="23"/>
        </w:rPr>
        <w:t xml:space="preserve"> </w:t>
      </w:r>
      <w:r w:rsidRPr="00A746CB">
        <w:rPr>
          <w:szCs w:val="23"/>
        </w:rPr>
        <w:t xml:space="preserve">of </w:t>
      </w:r>
      <w:r w:rsidR="00FC339F" w:rsidRPr="00A746CB">
        <w:rPr>
          <w:szCs w:val="23"/>
        </w:rPr>
        <w:t xml:space="preserve">post-orogenic </w:t>
      </w:r>
      <w:r w:rsidRPr="00A746CB">
        <w:rPr>
          <w:szCs w:val="23"/>
        </w:rPr>
        <w:t xml:space="preserve">rifting </w:t>
      </w:r>
      <w:r w:rsidR="00430C02">
        <w:rPr>
          <w:szCs w:val="23"/>
        </w:rPr>
        <w:t>(</w:t>
      </w:r>
      <w:r w:rsidR="00430C02" w:rsidRPr="00A746CB">
        <w:rPr>
          <w:szCs w:val="23"/>
        </w:rPr>
        <w:t>Oligocene-Aquitanian</w:t>
      </w:r>
      <w:r w:rsidR="00430C02">
        <w:rPr>
          <w:szCs w:val="23"/>
        </w:rPr>
        <w:t>)</w:t>
      </w:r>
      <w:r w:rsidR="00430C02" w:rsidRPr="00A746CB">
        <w:rPr>
          <w:szCs w:val="23"/>
        </w:rPr>
        <w:t xml:space="preserve"> </w:t>
      </w:r>
      <w:r w:rsidRPr="00A746CB">
        <w:rPr>
          <w:szCs w:val="23"/>
        </w:rPr>
        <w:t>and</w:t>
      </w:r>
      <w:r w:rsidR="00D44308" w:rsidRPr="00A746CB">
        <w:rPr>
          <w:szCs w:val="23"/>
        </w:rPr>
        <w:t xml:space="preserve"> seafloor spreading</w:t>
      </w:r>
      <w:r w:rsidR="00430C02" w:rsidRPr="00430C02">
        <w:rPr>
          <w:szCs w:val="23"/>
        </w:rPr>
        <w:t xml:space="preserve"> </w:t>
      </w:r>
      <w:r w:rsidR="00430C02">
        <w:rPr>
          <w:szCs w:val="23"/>
        </w:rPr>
        <w:t>(</w:t>
      </w:r>
      <w:r w:rsidR="00430C02" w:rsidRPr="00A746CB">
        <w:rPr>
          <w:szCs w:val="23"/>
        </w:rPr>
        <w:t>Burdigalian</w:t>
      </w:r>
      <w:r w:rsidR="00430C02">
        <w:rPr>
          <w:szCs w:val="23"/>
        </w:rPr>
        <w:t>)</w:t>
      </w:r>
      <w:r w:rsidR="00D44308" w:rsidRPr="00A746CB">
        <w:rPr>
          <w:szCs w:val="23"/>
        </w:rPr>
        <w:t xml:space="preserve">. </w:t>
      </w:r>
      <w:r w:rsidR="000D1D1E" w:rsidRPr="00A746CB">
        <w:rPr>
          <w:szCs w:val="23"/>
        </w:rPr>
        <w:t>T</w:t>
      </w:r>
      <w:r w:rsidR="00D44308" w:rsidRPr="00A746CB">
        <w:rPr>
          <w:szCs w:val="23"/>
        </w:rPr>
        <w:t xml:space="preserve">he </w:t>
      </w:r>
      <w:r w:rsidR="002943EF">
        <w:rPr>
          <w:szCs w:val="23"/>
        </w:rPr>
        <w:t xml:space="preserve">waning of </w:t>
      </w:r>
      <w:r w:rsidR="00D44308" w:rsidRPr="00A746CB">
        <w:rPr>
          <w:szCs w:val="23"/>
        </w:rPr>
        <w:t xml:space="preserve">allochthonous </w:t>
      </w:r>
      <w:r w:rsidR="00D44308" w:rsidRPr="00F724E0">
        <w:rPr>
          <w:szCs w:val="23"/>
        </w:rPr>
        <w:t>volcanoclastic</w:t>
      </w:r>
      <w:r w:rsidR="00D44308" w:rsidRPr="00A746CB">
        <w:rPr>
          <w:szCs w:val="23"/>
        </w:rPr>
        <w:t xml:space="preserve"> deposits of the Apennines </w:t>
      </w:r>
      <w:r w:rsidR="002943EF">
        <w:rPr>
          <w:szCs w:val="23"/>
        </w:rPr>
        <w:t>occurred</w:t>
      </w:r>
      <w:r w:rsidR="00D44308" w:rsidRPr="00A746CB">
        <w:rPr>
          <w:szCs w:val="23"/>
        </w:rPr>
        <w:t xml:space="preserve"> </w:t>
      </w:r>
      <w:r w:rsidR="00F724E0">
        <w:rPr>
          <w:szCs w:val="23"/>
        </w:rPr>
        <w:t xml:space="preserve">possibly </w:t>
      </w:r>
      <w:r w:rsidR="00DA4639" w:rsidRPr="00A746CB">
        <w:rPr>
          <w:szCs w:val="23"/>
        </w:rPr>
        <w:t>at</w:t>
      </w:r>
      <w:r w:rsidR="00D44308" w:rsidRPr="00A746CB">
        <w:rPr>
          <w:szCs w:val="23"/>
        </w:rPr>
        <w:t xml:space="preserve"> the nascence of WNW subduction of lithosphere belonging to the African plate under the retro-verging portion of the </w:t>
      </w:r>
      <w:r w:rsidR="002943EF">
        <w:rPr>
          <w:szCs w:val="23"/>
        </w:rPr>
        <w:t>Tyrrhenian</w:t>
      </w:r>
      <w:r w:rsidR="00D44308" w:rsidRPr="00A746CB">
        <w:rPr>
          <w:szCs w:val="23"/>
        </w:rPr>
        <w:t xml:space="preserve"> OAA</w:t>
      </w:r>
      <w:r w:rsidR="009B0854">
        <w:rPr>
          <w:szCs w:val="23"/>
        </w:rPr>
        <w:t xml:space="preserve"> (see </w:t>
      </w:r>
      <w:r w:rsidR="000A5FB2">
        <w:rPr>
          <w:i/>
          <w:szCs w:val="23"/>
        </w:rPr>
        <w:t xml:space="preserve">Supplementary </w:t>
      </w:r>
      <w:r w:rsidR="004174B1">
        <w:rPr>
          <w:i/>
          <w:szCs w:val="23"/>
        </w:rPr>
        <w:t>Info</w:t>
      </w:r>
      <w:r w:rsidR="000A5FB2">
        <w:rPr>
          <w:i/>
          <w:szCs w:val="23"/>
        </w:rPr>
        <w:t xml:space="preserve"> </w:t>
      </w:r>
      <w:r w:rsidR="009B43C9">
        <w:rPr>
          <w:i/>
          <w:szCs w:val="23"/>
        </w:rPr>
        <w:t>S</w:t>
      </w:r>
      <w:r w:rsidR="000A5FB2">
        <w:rPr>
          <w:i/>
          <w:szCs w:val="23"/>
        </w:rPr>
        <w:t>3</w:t>
      </w:r>
      <w:r w:rsidR="009B0854">
        <w:rPr>
          <w:szCs w:val="23"/>
        </w:rPr>
        <w:t>)</w:t>
      </w:r>
      <w:r w:rsidR="00D44308" w:rsidRPr="00A746CB">
        <w:rPr>
          <w:szCs w:val="23"/>
        </w:rPr>
        <w:t xml:space="preserve">. </w:t>
      </w:r>
      <w:r w:rsidR="00320617">
        <w:rPr>
          <w:szCs w:val="23"/>
        </w:rPr>
        <w:t xml:space="preserve">The </w:t>
      </w:r>
      <w:r w:rsidR="00DD227F" w:rsidRPr="00A746CB">
        <w:rPr>
          <w:szCs w:val="23"/>
        </w:rPr>
        <w:t>embryo</w:t>
      </w:r>
      <w:r w:rsidR="00DD227F">
        <w:rPr>
          <w:szCs w:val="23"/>
        </w:rPr>
        <w:t xml:space="preserve">nic </w:t>
      </w:r>
      <w:r w:rsidR="004174B1">
        <w:rPr>
          <w:szCs w:val="23"/>
        </w:rPr>
        <w:t>slab</w:t>
      </w:r>
      <w:r w:rsidR="00DD227F">
        <w:rPr>
          <w:szCs w:val="23"/>
        </w:rPr>
        <w:t xml:space="preserve"> </w:t>
      </w:r>
      <w:r w:rsidR="00320617">
        <w:rPr>
          <w:szCs w:val="23"/>
        </w:rPr>
        <w:t xml:space="preserve">went </w:t>
      </w:r>
      <w:r w:rsidR="00320617">
        <w:rPr>
          <w:szCs w:val="23"/>
        </w:rPr>
        <w:lastRenderedPageBreak/>
        <w:t xml:space="preserve">with </w:t>
      </w:r>
      <w:r w:rsidR="00320617" w:rsidRPr="00A746CB">
        <w:rPr>
          <w:szCs w:val="23"/>
        </w:rPr>
        <w:t>erupt</w:t>
      </w:r>
      <w:r w:rsidR="00320617">
        <w:rPr>
          <w:szCs w:val="23"/>
        </w:rPr>
        <w:t>ion</w:t>
      </w:r>
      <w:r w:rsidR="00320617" w:rsidRPr="00A746CB">
        <w:rPr>
          <w:szCs w:val="23"/>
        </w:rPr>
        <w:t xml:space="preserve"> </w:t>
      </w:r>
      <w:r w:rsidR="00320617">
        <w:rPr>
          <w:szCs w:val="23"/>
        </w:rPr>
        <w:t>of volcanics</w:t>
      </w:r>
      <w:r w:rsidR="00A03913">
        <w:rPr>
          <w:szCs w:val="23"/>
        </w:rPr>
        <w:t xml:space="preserve"> of</w:t>
      </w:r>
      <w:r w:rsidR="00320617" w:rsidRPr="00A746CB">
        <w:rPr>
          <w:szCs w:val="23"/>
        </w:rPr>
        <w:t xml:space="preserve"> </w:t>
      </w:r>
      <w:r w:rsidR="00A03913">
        <w:rPr>
          <w:szCs w:val="23"/>
        </w:rPr>
        <w:t>less common type (</w:t>
      </w:r>
      <w:r w:rsidR="00320617">
        <w:rPr>
          <w:szCs w:val="23"/>
        </w:rPr>
        <w:t>comendites</w:t>
      </w:r>
      <w:r w:rsidR="00320617" w:rsidRPr="00A746CB">
        <w:rPr>
          <w:szCs w:val="23"/>
        </w:rPr>
        <w:t xml:space="preserve"> </w:t>
      </w:r>
      <w:r w:rsidR="00B607EB">
        <w:rPr>
          <w:szCs w:val="23"/>
        </w:rPr>
        <w:t xml:space="preserve">of </w:t>
      </w:r>
      <w:r w:rsidR="00A03913">
        <w:rPr>
          <w:szCs w:val="23"/>
        </w:rPr>
        <w:t>SW Sardinia,</w:t>
      </w:r>
      <w:r w:rsidR="00320617">
        <w:rPr>
          <w:szCs w:val="23"/>
        </w:rPr>
        <w:t xml:space="preserve"> </w:t>
      </w:r>
      <w:r w:rsidR="00320617" w:rsidRPr="00A746CB">
        <w:rPr>
          <w:szCs w:val="23"/>
        </w:rPr>
        <w:t>European plate</w:t>
      </w:r>
      <w:r w:rsidR="00A03913">
        <w:rPr>
          <w:szCs w:val="23"/>
        </w:rPr>
        <w:t>,</w:t>
      </w:r>
      <w:r w:rsidR="00320617" w:rsidRPr="00A746CB">
        <w:rPr>
          <w:szCs w:val="23"/>
        </w:rPr>
        <w:t xml:space="preserve"> and </w:t>
      </w:r>
      <w:r w:rsidR="00320617">
        <w:rPr>
          <w:szCs w:val="23"/>
        </w:rPr>
        <w:t>lamproites</w:t>
      </w:r>
      <w:r w:rsidR="00320617" w:rsidRPr="00A746CB">
        <w:rPr>
          <w:szCs w:val="23"/>
        </w:rPr>
        <w:t xml:space="preserve"> </w:t>
      </w:r>
      <w:r w:rsidR="00320617">
        <w:rPr>
          <w:szCs w:val="23"/>
        </w:rPr>
        <w:t xml:space="preserve">of </w:t>
      </w:r>
      <w:r w:rsidR="00320617" w:rsidRPr="00A746CB">
        <w:rPr>
          <w:szCs w:val="23"/>
        </w:rPr>
        <w:t>NE Corsica</w:t>
      </w:r>
      <w:r w:rsidR="00A03913">
        <w:rPr>
          <w:szCs w:val="23"/>
        </w:rPr>
        <w:t>,</w:t>
      </w:r>
      <w:r w:rsidR="00B607EB">
        <w:rPr>
          <w:szCs w:val="23"/>
        </w:rPr>
        <w:t xml:space="preserve"> </w:t>
      </w:r>
      <w:r w:rsidR="00320617" w:rsidRPr="00A746CB">
        <w:rPr>
          <w:szCs w:val="23"/>
        </w:rPr>
        <w:t>the Tyrrhenian part of the OAA</w:t>
      </w:r>
      <w:r w:rsidR="00320617">
        <w:rPr>
          <w:szCs w:val="23"/>
        </w:rPr>
        <w:t xml:space="preserve">; </w:t>
      </w:r>
      <w:r w:rsidR="00320617" w:rsidRPr="00822669">
        <w:rPr>
          <w:i/>
          <w:szCs w:val="23"/>
        </w:rPr>
        <w:t xml:space="preserve">Supplementary </w:t>
      </w:r>
      <w:r w:rsidR="004174B1">
        <w:rPr>
          <w:i/>
        </w:rPr>
        <w:t>Dataset</w:t>
      </w:r>
      <w:r w:rsidR="004174B1" w:rsidRPr="006A7A10">
        <w:rPr>
          <w:i/>
        </w:rPr>
        <w:t xml:space="preserve"> </w:t>
      </w:r>
      <w:r w:rsidR="00320617">
        <w:rPr>
          <w:i/>
          <w:szCs w:val="23"/>
        </w:rPr>
        <w:t>S4</w:t>
      </w:r>
      <w:r w:rsidR="00EB2C22" w:rsidRPr="00EB2C22">
        <w:rPr>
          <w:szCs w:val="23"/>
        </w:rPr>
        <w:t>)</w:t>
      </w:r>
      <w:r w:rsidR="00EB2C22">
        <w:rPr>
          <w:szCs w:val="23"/>
        </w:rPr>
        <w:t xml:space="preserve">. </w:t>
      </w:r>
      <w:r w:rsidR="00DD227F">
        <w:rPr>
          <w:szCs w:val="23"/>
        </w:rPr>
        <w:t>The</w:t>
      </w:r>
      <w:r w:rsidR="00320617">
        <w:rPr>
          <w:szCs w:val="23"/>
        </w:rPr>
        <w:t xml:space="preserve"> </w:t>
      </w:r>
      <w:r w:rsidR="004174B1">
        <w:rPr>
          <w:szCs w:val="23"/>
        </w:rPr>
        <w:t xml:space="preserve">slab </w:t>
      </w:r>
      <w:r w:rsidR="00DD227F">
        <w:rPr>
          <w:szCs w:val="23"/>
        </w:rPr>
        <w:t>origin</w:t>
      </w:r>
      <w:r w:rsidR="00C111B6" w:rsidRPr="00A746CB">
        <w:rPr>
          <w:szCs w:val="23"/>
        </w:rPr>
        <w:t xml:space="preserve"> </w:t>
      </w:r>
      <w:r w:rsidR="00D44308" w:rsidRPr="00A746CB">
        <w:rPr>
          <w:szCs w:val="23"/>
        </w:rPr>
        <w:t xml:space="preserve">may be useful for recognizing the early formation of the Maghrebid-Apennine thrust belt. </w:t>
      </w:r>
    </w:p>
    <w:p w:rsidR="004D23A0" w:rsidRDefault="004D23A0" w:rsidP="005C779A">
      <w:pPr>
        <w:spacing w:line="240" w:lineRule="auto"/>
        <w:ind w:firstLine="720"/>
        <w:rPr>
          <w:szCs w:val="23"/>
        </w:rPr>
      </w:pPr>
    </w:p>
    <w:p w:rsidR="004B2CCF" w:rsidRPr="0041665B" w:rsidRDefault="00053342" w:rsidP="004B2CCF">
      <w:pPr>
        <w:spacing w:line="240" w:lineRule="auto"/>
        <w:rPr>
          <w:b/>
          <w:sz w:val="28"/>
          <w:szCs w:val="28"/>
        </w:rPr>
      </w:pPr>
      <w:r w:rsidRPr="0041665B">
        <w:rPr>
          <w:b/>
          <w:sz w:val="28"/>
          <w:szCs w:val="28"/>
        </w:rPr>
        <w:t>Discussion</w:t>
      </w:r>
    </w:p>
    <w:p w:rsidR="00926537" w:rsidRDefault="004B2CCF" w:rsidP="004B2CCF">
      <w:pPr>
        <w:spacing w:line="240" w:lineRule="auto"/>
        <w:ind w:firstLine="709"/>
        <w:rPr>
          <w:szCs w:val="23"/>
        </w:rPr>
      </w:pPr>
      <w:r w:rsidRPr="00A746CB">
        <w:rPr>
          <w:szCs w:val="23"/>
        </w:rPr>
        <w:t>Overall, rift tectonism is either of “failed” (incomplete) or “mature” type: the former is linked to continental lithosphere thinning typically characterized by horst-graben structure, the latter reaches the stage of oceanic basin opening. In the west Mediterranean and surroundings Tertiary</w:t>
      </w:r>
      <w:r w:rsidR="00DE5229" w:rsidRPr="00A746CB">
        <w:rPr>
          <w:szCs w:val="23"/>
        </w:rPr>
        <w:t>-Quaternary</w:t>
      </w:r>
      <w:r w:rsidRPr="00A746CB">
        <w:rPr>
          <w:szCs w:val="23"/>
        </w:rPr>
        <w:t xml:space="preserve"> rifting of “failed” type produced thinning and stretching of various </w:t>
      </w:r>
      <w:r w:rsidR="00563C10">
        <w:rPr>
          <w:szCs w:val="23"/>
        </w:rPr>
        <w:t>region</w:t>
      </w:r>
      <w:r w:rsidRPr="00A746CB">
        <w:rPr>
          <w:szCs w:val="23"/>
        </w:rPr>
        <w:t xml:space="preserve">s such as Valencia basin, Alboran Sea, Sicily Channel, Aegean Sea, Rheintal, Rhone Valley, Limagne-Massif-Central-Bresse. “Mature” rift can be distinguished from aborted rift spatially or temporally. A spatial distinction is found in the Tyrrhenian as late Miocene rift activity of “failed” and “mature” type occurs respectively to the north and the south of the 41° parallel lineation zone. In fact, modest extension (incomplete rift) accompanied the magmatism of granitoid nature of the north Tyrrhenian seafloor (Fig. </w:t>
      </w:r>
      <w:r w:rsidR="00010DC4">
        <w:rPr>
          <w:szCs w:val="23"/>
        </w:rPr>
        <w:t>6</w:t>
      </w:r>
      <w:r w:rsidRPr="00A746CB">
        <w:rPr>
          <w:szCs w:val="23"/>
        </w:rPr>
        <w:t xml:space="preserve">). On the other hand, strong extensional deformation went with the Vavilov plain volcanism of MORB type (mature rift) to the south of the lineation. </w:t>
      </w:r>
      <w:r w:rsidR="002B7030">
        <w:rPr>
          <w:szCs w:val="23"/>
        </w:rPr>
        <w:t>G</w:t>
      </w:r>
      <w:r w:rsidRPr="00A746CB">
        <w:rPr>
          <w:szCs w:val="23"/>
        </w:rPr>
        <w:t xml:space="preserve">ranitoid magmas are widespread </w:t>
      </w:r>
      <w:r w:rsidR="002B7030">
        <w:rPr>
          <w:szCs w:val="23"/>
        </w:rPr>
        <w:t>in</w:t>
      </w:r>
      <w:r w:rsidRPr="00A746CB">
        <w:rPr>
          <w:szCs w:val="23"/>
        </w:rPr>
        <w:t xml:space="preserve"> the north Tyrrhenian, whereas basalt volcanism appears </w:t>
      </w:r>
      <w:r w:rsidR="002B7030">
        <w:rPr>
          <w:szCs w:val="23"/>
        </w:rPr>
        <w:t>limited</w:t>
      </w:r>
      <w:r w:rsidRPr="00A746CB">
        <w:rPr>
          <w:szCs w:val="23"/>
        </w:rPr>
        <w:t xml:space="preserve"> </w:t>
      </w:r>
      <w:r w:rsidR="002B7030">
        <w:rPr>
          <w:szCs w:val="23"/>
        </w:rPr>
        <w:t>to</w:t>
      </w:r>
      <w:r w:rsidR="002B7030" w:rsidRPr="00A746CB">
        <w:rPr>
          <w:szCs w:val="23"/>
        </w:rPr>
        <w:t xml:space="preserve"> the e</w:t>
      </w:r>
      <w:r w:rsidR="002B7030">
        <w:rPr>
          <w:szCs w:val="23"/>
        </w:rPr>
        <w:t>a</w:t>
      </w:r>
      <w:r w:rsidR="002B7030" w:rsidRPr="00A746CB">
        <w:rPr>
          <w:szCs w:val="23"/>
        </w:rPr>
        <w:t xml:space="preserve">stern </w:t>
      </w:r>
      <w:r w:rsidR="002B7030">
        <w:rPr>
          <w:szCs w:val="23"/>
        </w:rPr>
        <w:t>rim</w:t>
      </w:r>
      <w:r w:rsidR="002B7030" w:rsidRPr="00A746CB">
        <w:rPr>
          <w:szCs w:val="23"/>
        </w:rPr>
        <w:t xml:space="preserve"> </w:t>
      </w:r>
      <w:r w:rsidR="002B7030">
        <w:rPr>
          <w:szCs w:val="23"/>
        </w:rPr>
        <w:t xml:space="preserve">of </w:t>
      </w:r>
      <w:r w:rsidR="002B7030" w:rsidRPr="00A746CB">
        <w:rPr>
          <w:szCs w:val="23"/>
        </w:rPr>
        <w:t xml:space="preserve">Vavilov </w:t>
      </w:r>
      <w:r w:rsidR="002B7030">
        <w:rPr>
          <w:szCs w:val="23"/>
        </w:rPr>
        <w:t xml:space="preserve">plain </w:t>
      </w:r>
      <w:r w:rsidRPr="00A746CB">
        <w:rPr>
          <w:szCs w:val="23"/>
        </w:rPr>
        <w:t xml:space="preserve">(DSDP 373A; Fig. </w:t>
      </w:r>
      <w:r w:rsidR="00D73D4A">
        <w:rPr>
          <w:szCs w:val="23"/>
        </w:rPr>
        <w:t>4</w:t>
      </w:r>
      <w:r w:rsidRPr="00A746CB">
        <w:rPr>
          <w:szCs w:val="23"/>
        </w:rPr>
        <w:t xml:space="preserve">). Spatial distinction is also manifest in the Mediterranean OAA during the Burdigalian. In fact, rifting of “failed” and “mature” type in the absence of subduction occur respectively to the east (future Tyrrhenian sea) and west (north Algerian basin) of the Catalan-Tunisian fracture zone. More in the past, the Permo-Triassic “failed” rift of the southern Alps could have been associated with the distant opening of the Permo-Triassic Tethys. Regarding the temporal distinction, rift/spreading transition of the Mediterranean OAA occurred in Burdigalian, late-Miocene and late Pliocene time. </w:t>
      </w:r>
    </w:p>
    <w:p w:rsidR="002C5BEC" w:rsidRPr="00F072E3" w:rsidRDefault="00DA113F" w:rsidP="0007495F">
      <w:pPr>
        <w:spacing w:line="240" w:lineRule="auto"/>
      </w:pPr>
      <w:r w:rsidRPr="00A746CB">
        <w:rPr>
          <w:szCs w:val="23"/>
        </w:rPr>
        <w:t>Pre-Oligocene (&gt;</w:t>
      </w:r>
      <w:r>
        <w:rPr>
          <w:szCs w:val="23"/>
        </w:rPr>
        <w:t xml:space="preserve"> </w:t>
      </w:r>
      <w:r w:rsidRPr="00A746CB">
        <w:rPr>
          <w:szCs w:val="23"/>
        </w:rPr>
        <w:t xml:space="preserve">33/32 Ma) lithosphere thickening above </w:t>
      </w:r>
      <w:r w:rsidR="002B7030" w:rsidRPr="00A746CB">
        <w:rPr>
          <w:szCs w:val="23"/>
        </w:rPr>
        <w:t xml:space="preserve">SE-subduction of European lithosphere produced the Mediterranean-Tyrrhenian OAA. Structurally, the orogen was made of fore- and retro-belt. </w:t>
      </w:r>
      <w:r w:rsidR="00A63733" w:rsidRPr="00A746CB">
        <w:rPr>
          <w:szCs w:val="23"/>
        </w:rPr>
        <w:t>WNW</w:t>
      </w:r>
      <w:r w:rsidR="00CF183F" w:rsidRPr="00A746CB">
        <w:rPr>
          <w:szCs w:val="23"/>
        </w:rPr>
        <w:t>-directed</w:t>
      </w:r>
      <w:r w:rsidR="00A63733" w:rsidRPr="00A746CB">
        <w:rPr>
          <w:szCs w:val="23"/>
        </w:rPr>
        <w:t xml:space="preserve"> subduction </w:t>
      </w:r>
      <w:r w:rsidR="00A63733">
        <w:rPr>
          <w:szCs w:val="23"/>
        </w:rPr>
        <w:t xml:space="preserve">of </w:t>
      </w:r>
      <w:r w:rsidR="00A63733" w:rsidRPr="00A746CB">
        <w:rPr>
          <w:szCs w:val="23"/>
        </w:rPr>
        <w:t>Africa</w:t>
      </w:r>
      <w:r w:rsidR="00A63733">
        <w:rPr>
          <w:szCs w:val="23"/>
        </w:rPr>
        <w:t>n</w:t>
      </w:r>
      <w:r w:rsidR="00A63733" w:rsidRPr="00A746CB">
        <w:rPr>
          <w:szCs w:val="23"/>
        </w:rPr>
        <w:t xml:space="preserve"> plate beneath the retro-belt commenced</w:t>
      </w:r>
      <w:r w:rsidR="00CF183F">
        <w:rPr>
          <w:szCs w:val="23"/>
        </w:rPr>
        <w:t>,</w:t>
      </w:r>
      <w:r w:rsidR="00A63733" w:rsidRPr="00A746CB">
        <w:rPr>
          <w:szCs w:val="23"/>
        </w:rPr>
        <w:t xml:space="preserve"> </w:t>
      </w:r>
      <w:r w:rsidR="00CF183F" w:rsidRPr="00A746CB">
        <w:rPr>
          <w:szCs w:val="23"/>
        </w:rPr>
        <w:t>most likely</w:t>
      </w:r>
      <w:r w:rsidR="00CF183F">
        <w:rPr>
          <w:szCs w:val="23"/>
        </w:rPr>
        <w:t>,</w:t>
      </w:r>
      <w:r w:rsidR="00CF183F" w:rsidRPr="00A746CB">
        <w:rPr>
          <w:szCs w:val="23"/>
        </w:rPr>
        <w:t xml:space="preserve"> </w:t>
      </w:r>
      <w:r w:rsidR="00A63733">
        <w:rPr>
          <w:szCs w:val="23"/>
        </w:rPr>
        <w:t>at</w:t>
      </w:r>
      <w:r w:rsidR="00A63733" w:rsidRPr="00A746CB">
        <w:rPr>
          <w:szCs w:val="23"/>
        </w:rPr>
        <w:t xml:space="preserve"> the Burdigalian</w:t>
      </w:r>
      <w:r w:rsidR="00A63733">
        <w:rPr>
          <w:szCs w:val="23"/>
        </w:rPr>
        <w:t>-</w:t>
      </w:r>
      <w:r w:rsidR="00A63733" w:rsidRPr="00A746CB">
        <w:rPr>
          <w:szCs w:val="23"/>
        </w:rPr>
        <w:t>Langhian</w:t>
      </w:r>
      <w:r w:rsidR="00A63733">
        <w:rPr>
          <w:szCs w:val="23"/>
        </w:rPr>
        <w:t xml:space="preserve"> transition</w:t>
      </w:r>
      <w:r w:rsidR="00A63733" w:rsidRPr="00A746CB">
        <w:rPr>
          <w:szCs w:val="23"/>
        </w:rPr>
        <w:t xml:space="preserve"> </w:t>
      </w:r>
      <w:r w:rsidR="00A63733">
        <w:rPr>
          <w:szCs w:val="23"/>
        </w:rPr>
        <w:t>(</w:t>
      </w:r>
      <w:r w:rsidR="00A63733" w:rsidRPr="00A746CB">
        <w:rPr>
          <w:szCs w:val="23"/>
        </w:rPr>
        <w:t>ca. 16/15 Ma</w:t>
      </w:r>
      <w:r w:rsidR="00A63733">
        <w:rPr>
          <w:szCs w:val="23"/>
        </w:rPr>
        <w:t>)</w:t>
      </w:r>
      <w:r w:rsidR="002B7030" w:rsidRPr="00A746CB">
        <w:rPr>
          <w:szCs w:val="23"/>
        </w:rPr>
        <w:t xml:space="preserve"> </w:t>
      </w:r>
      <w:r w:rsidR="00CF183F">
        <w:rPr>
          <w:szCs w:val="23"/>
        </w:rPr>
        <w:t xml:space="preserve">was </w:t>
      </w:r>
      <w:r w:rsidR="002B7030" w:rsidRPr="00A746CB">
        <w:rPr>
          <w:szCs w:val="23"/>
        </w:rPr>
        <w:t xml:space="preserve">favoured by vergence similarity </w:t>
      </w:r>
      <w:r w:rsidR="00A63733">
        <w:rPr>
          <w:szCs w:val="23"/>
        </w:rPr>
        <w:t>with</w:t>
      </w:r>
      <w:r w:rsidRPr="00A746CB">
        <w:rPr>
          <w:szCs w:val="23"/>
        </w:rPr>
        <w:t xml:space="preserve"> the </w:t>
      </w:r>
      <w:r>
        <w:rPr>
          <w:szCs w:val="23"/>
        </w:rPr>
        <w:t xml:space="preserve">nascent </w:t>
      </w:r>
      <w:r w:rsidR="002B7030" w:rsidRPr="00A746CB">
        <w:rPr>
          <w:szCs w:val="23"/>
        </w:rPr>
        <w:t xml:space="preserve">Maghrebid-Apennines. </w:t>
      </w:r>
      <w:r w:rsidR="006D55FD">
        <w:rPr>
          <w:szCs w:val="23"/>
        </w:rPr>
        <w:t>The</w:t>
      </w:r>
      <w:r w:rsidR="004B2CCF" w:rsidRPr="00A746CB">
        <w:rPr>
          <w:szCs w:val="23"/>
        </w:rPr>
        <w:t xml:space="preserve"> </w:t>
      </w:r>
      <w:r w:rsidR="00CF183F">
        <w:rPr>
          <w:szCs w:val="23"/>
        </w:rPr>
        <w:t xml:space="preserve">Oligo-Burdigalian stage of </w:t>
      </w:r>
      <w:r w:rsidR="00CF183F" w:rsidRPr="00A746CB">
        <w:rPr>
          <w:szCs w:val="23"/>
        </w:rPr>
        <w:t xml:space="preserve">rifting </w:t>
      </w:r>
      <w:r w:rsidR="00CF183F">
        <w:rPr>
          <w:szCs w:val="23"/>
        </w:rPr>
        <w:t xml:space="preserve">in concert with </w:t>
      </w:r>
      <w:r w:rsidR="002B7030">
        <w:rPr>
          <w:szCs w:val="23"/>
        </w:rPr>
        <w:t>volcanism</w:t>
      </w:r>
      <w:r w:rsidR="00926537">
        <w:rPr>
          <w:szCs w:val="23"/>
        </w:rPr>
        <w:t xml:space="preserve"> </w:t>
      </w:r>
      <w:r w:rsidR="007B0BD0">
        <w:rPr>
          <w:szCs w:val="23"/>
        </w:rPr>
        <w:t xml:space="preserve">of the </w:t>
      </w:r>
      <w:r w:rsidR="004B2CCF" w:rsidRPr="00A746CB">
        <w:rPr>
          <w:szCs w:val="23"/>
        </w:rPr>
        <w:t xml:space="preserve">Tyrrhenian </w:t>
      </w:r>
      <w:r w:rsidR="00926537">
        <w:rPr>
          <w:szCs w:val="23"/>
        </w:rPr>
        <w:t>OAA</w:t>
      </w:r>
      <w:r w:rsidR="004B2CCF" w:rsidRPr="00A746CB">
        <w:rPr>
          <w:szCs w:val="23"/>
        </w:rPr>
        <w:t xml:space="preserve"> </w:t>
      </w:r>
      <w:r w:rsidR="007B0BD0">
        <w:rPr>
          <w:szCs w:val="23"/>
        </w:rPr>
        <w:t>w</w:t>
      </w:r>
      <w:r w:rsidR="00CF183F">
        <w:rPr>
          <w:szCs w:val="23"/>
        </w:rPr>
        <w:t>as</w:t>
      </w:r>
      <w:r w:rsidR="006D55FD">
        <w:rPr>
          <w:szCs w:val="23"/>
        </w:rPr>
        <w:t xml:space="preserve"> possibly akin to </w:t>
      </w:r>
      <w:r w:rsidR="00CF183F">
        <w:rPr>
          <w:szCs w:val="23"/>
        </w:rPr>
        <w:t>the post-</w:t>
      </w:r>
      <w:r w:rsidR="00CF183F" w:rsidRPr="00A746CB">
        <w:rPr>
          <w:szCs w:val="23"/>
        </w:rPr>
        <w:t>Laramid</w:t>
      </w:r>
      <w:r w:rsidR="00CF183F">
        <w:rPr>
          <w:szCs w:val="23"/>
        </w:rPr>
        <w:t xml:space="preserve">e </w:t>
      </w:r>
      <w:r w:rsidRPr="00A746CB">
        <w:rPr>
          <w:szCs w:val="23"/>
        </w:rPr>
        <w:t xml:space="preserve">rifting </w:t>
      </w:r>
      <w:r>
        <w:rPr>
          <w:szCs w:val="23"/>
        </w:rPr>
        <w:t xml:space="preserve">and volcanism </w:t>
      </w:r>
      <w:r w:rsidR="004B2CCF" w:rsidRPr="00A746CB">
        <w:rPr>
          <w:szCs w:val="23"/>
        </w:rPr>
        <w:t xml:space="preserve">of the Basin and Range. Overall, intramontain lithosphere rupture and volcanism of calc-alkaline nature produce fault-bounded horst, exposing crystalline-metamorphic and volcanic rocks, </w:t>
      </w:r>
      <w:r w:rsidR="00557A55">
        <w:rPr>
          <w:szCs w:val="23"/>
        </w:rPr>
        <w:t xml:space="preserve">and </w:t>
      </w:r>
      <w:r w:rsidR="00557A55" w:rsidRPr="00A746CB">
        <w:rPr>
          <w:szCs w:val="23"/>
        </w:rPr>
        <w:t>alterna</w:t>
      </w:r>
      <w:r w:rsidR="00557A55">
        <w:rPr>
          <w:szCs w:val="23"/>
        </w:rPr>
        <w:t>t</w:t>
      </w:r>
      <w:r w:rsidR="00557A55" w:rsidRPr="00A746CB">
        <w:rPr>
          <w:szCs w:val="23"/>
        </w:rPr>
        <w:t>ing</w:t>
      </w:r>
      <w:r w:rsidR="004B2CCF" w:rsidRPr="00A746CB">
        <w:rPr>
          <w:szCs w:val="23"/>
        </w:rPr>
        <w:t xml:space="preserve"> </w:t>
      </w:r>
      <w:r w:rsidR="00557A55">
        <w:rPr>
          <w:szCs w:val="23"/>
        </w:rPr>
        <w:t xml:space="preserve">with </w:t>
      </w:r>
      <w:r w:rsidR="004B2CCF" w:rsidRPr="00A746CB">
        <w:rPr>
          <w:szCs w:val="23"/>
        </w:rPr>
        <w:t>grabens that contain thick deposits of volcanoclastic and siliciclastic nature</w:t>
      </w:r>
      <w:r w:rsidR="00D12B31">
        <w:rPr>
          <w:szCs w:val="23"/>
        </w:rPr>
        <w:t xml:space="preserve">. </w:t>
      </w:r>
      <w:r w:rsidR="004B2CCF" w:rsidRPr="00A746CB">
        <w:rPr>
          <w:szCs w:val="23"/>
        </w:rPr>
        <w:t xml:space="preserve">Calc-alkaline volcanoclastic deposits of Oligocene – Burdigalian age are found as allochthonous bodies in the Apennines in the absence of </w:t>
      </w:r>
      <w:r>
        <w:rPr>
          <w:szCs w:val="23"/>
        </w:rPr>
        <w:t xml:space="preserve">the </w:t>
      </w:r>
      <w:r w:rsidR="004B2CCF" w:rsidRPr="00A746CB">
        <w:rPr>
          <w:szCs w:val="23"/>
        </w:rPr>
        <w:t>emission centres</w:t>
      </w:r>
      <w:r w:rsidR="00C440F0">
        <w:rPr>
          <w:szCs w:val="23"/>
        </w:rPr>
        <w:t xml:space="preserve"> (see the </w:t>
      </w:r>
      <w:r w:rsidR="007762DA" w:rsidRPr="007C07E0">
        <w:rPr>
          <w:i/>
          <w:szCs w:val="23"/>
        </w:rPr>
        <w:t xml:space="preserve">Supplementary </w:t>
      </w:r>
      <w:r w:rsidR="004174B1">
        <w:rPr>
          <w:i/>
          <w:szCs w:val="23"/>
        </w:rPr>
        <w:t xml:space="preserve">Info </w:t>
      </w:r>
      <w:r w:rsidR="007762DA">
        <w:rPr>
          <w:i/>
          <w:szCs w:val="23"/>
        </w:rPr>
        <w:t>S</w:t>
      </w:r>
      <w:r w:rsidR="00DD227F">
        <w:rPr>
          <w:i/>
          <w:szCs w:val="23"/>
        </w:rPr>
        <w:t>3</w:t>
      </w:r>
      <w:r w:rsidR="007762DA">
        <w:rPr>
          <w:i/>
          <w:szCs w:val="23"/>
        </w:rPr>
        <w:t xml:space="preserve">, </w:t>
      </w:r>
      <w:r w:rsidR="00EB2C22">
        <w:rPr>
          <w:i/>
          <w:szCs w:val="23"/>
        </w:rPr>
        <w:t xml:space="preserve">and </w:t>
      </w:r>
      <w:r w:rsidR="004174B1">
        <w:rPr>
          <w:i/>
        </w:rPr>
        <w:t>Dataset</w:t>
      </w:r>
      <w:r w:rsidR="004174B1" w:rsidRPr="006A7A10">
        <w:rPr>
          <w:i/>
        </w:rPr>
        <w:t xml:space="preserve"> </w:t>
      </w:r>
      <w:r w:rsidR="007762DA">
        <w:rPr>
          <w:i/>
          <w:szCs w:val="23"/>
        </w:rPr>
        <w:t>S5, S6</w:t>
      </w:r>
      <w:r w:rsidR="007762DA">
        <w:rPr>
          <w:szCs w:val="23"/>
        </w:rPr>
        <w:t>)</w:t>
      </w:r>
      <w:r w:rsidR="004B2CCF" w:rsidRPr="00A746CB">
        <w:rPr>
          <w:szCs w:val="23"/>
        </w:rPr>
        <w:t xml:space="preserve">. </w:t>
      </w:r>
      <w:r w:rsidR="00D12B31">
        <w:rPr>
          <w:szCs w:val="23"/>
        </w:rPr>
        <w:t>A</w:t>
      </w:r>
      <w:r w:rsidR="004B2CCF" w:rsidRPr="00A746CB">
        <w:rPr>
          <w:szCs w:val="23"/>
        </w:rPr>
        <w:t xml:space="preserve">t the nascence of WNW subduction and Apennine thrusting, the </w:t>
      </w:r>
      <w:r w:rsidR="00E609BE">
        <w:rPr>
          <w:szCs w:val="23"/>
        </w:rPr>
        <w:t xml:space="preserve">upper plate </w:t>
      </w:r>
      <w:r w:rsidR="004B2CCF" w:rsidRPr="00A746CB">
        <w:rPr>
          <w:szCs w:val="23"/>
        </w:rPr>
        <w:t xml:space="preserve">source area of the allochthonous volcanoclastics was </w:t>
      </w:r>
      <w:r w:rsidR="00D12B31">
        <w:rPr>
          <w:szCs w:val="23"/>
        </w:rPr>
        <w:t>p</w:t>
      </w:r>
      <w:r w:rsidR="00D12B31" w:rsidRPr="00A746CB">
        <w:rPr>
          <w:szCs w:val="23"/>
        </w:rPr>
        <w:t xml:space="preserve">robably </w:t>
      </w:r>
      <w:r w:rsidR="004B2CCF" w:rsidRPr="00A746CB">
        <w:rPr>
          <w:szCs w:val="23"/>
        </w:rPr>
        <w:t xml:space="preserve">affected by inversion tectonics in which a compressional </w:t>
      </w:r>
      <w:r>
        <w:rPr>
          <w:szCs w:val="23"/>
        </w:rPr>
        <w:t>stage</w:t>
      </w:r>
      <w:r w:rsidR="004B2CCF" w:rsidRPr="00A746CB">
        <w:rPr>
          <w:szCs w:val="23"/>
        </w:rPr>
        <w:t xml:space="preserve"> follows the extension-dominated </w:t>
      </w:r>
      <w:r>
        <w:rPr>
          <w:szCs w:val="23"/>
        </w:rPr>
        <w:t>stage</w:t>
      </w:r>
      <w:r w:rsidR="004B2CCF" w:rsidRPr="00A746CB">
        <w:rPr>
          <w:szCs w:val="23"/>
        </w:rPr>
        <w:t xml:space="preserve">. The fate of the volcanoclastics could have been </w:t>
      </w:r>
      <w:r w:rsidR="004B2CCF" w:rsidRPr="00F072E3">
        <w:t xml:space="preserve">determined by the significant change of tectonic mode of their sites of origin in the former Tyrrhenian OAA. By the start of WNW subduction, inversion tectonics could initiate the down-faulting of the original horst volcanoes (past topographic highs) and the thrusting of the fault-bounded grabens bearing volcanoclastic deposits (former lows). In the more orthodox concept of </w:t>
      </w:r>
      <w:r w:rsidR="00E609BE" w:rsidRPr="00F072E3">
        <w:t>West-</w:t>
      </w:r>
      <w:r w:rsidR="004B2CCF" w:rsidRPr="00F072E3">
        <w:t xml:space="preserve">Mediterranean-Tyrrhenian evolution, the persistent WNW subduction of the last 33/32 Ma excludes horst-graben inversion. Also the thick siliciclastic graben successions of the Apennines </w:t>
      </w:r>
      <w:r w:rsidRPr="00F072E3">
        <w:t>and the</w:t>
      </w:r>
      <w:r w:rsidR="0011187E" w:rsidRPr="00F072E3">
        <w:t xml:space="preserve"> nonappearance of the past structural highs </w:t>
      </w:r>
      <w:r w:rsidR="004B2CCF" w:rsidRPr="00F072E3">
        <w:t xml:space="preserve">could be a consequence of inversion tectonics. The connection of </w:t>
      </w:r>
      <w:r w:rsidR="0011187E" w:rsidRPr="00F072E3">
        <w:t>volcanism</w:t>
      </w:r>
      <w:r w:rsidR="004B2CCF" w:rsidRPr="00F072E3">
        <w:t xml:space="preserve"> of </w:t>
      </w:r>
      <w:r w:rsidR="00C440F0" w:rsidRPr="00F072E3">
        <w:t xml:space="preserve">calc-alkaline </w:t>
      </w:r>
      <w:r w:rsidR="004B2CCF" w:rsidRPr="00F072E3">
        <w:t xml:space="preserve">type far from subduction zone most probably implies that igneous sources have been metasomatized by crustal material brought downwards during clearly past lithosphere shortening and plate convergence. Overall, the geological literature indicates that the temporal gap intervening between tectonic mode linked to metasomatic modification and igneous activity of calc-alkaline type can be highly variable. </w:t>
      </w:r>
    </w:p>
    <w:p w:rsidR="004B2CCF" w:rsidRPr="00A746CB" w:rsidRDefault="004B2CCF" w:rsidP="004B2CCF">
      <w:pPr>
        <w:spacing w:line="240" w:lineRule="auto"/>
        <w:ind w:firstLine="709"/>
        <w:rPr>
          <w:szCs w:val="23"/>
        </w:rPr>
      </w:pPr>
      <w:r w:rsidRPr="00A746CB">
        <w:rPr>
          <w:szCs w:val="23"/>
        </w:rPr>
        <w:t>The</w:t>
      </w:r>
      <w:r w:rsidR="00DA113F">
        <w:rPr>
          <w:szCs w:val="23"/>
        </w:rPr>
        <w:t xml:space="preserve"> study a</w:t>
      </w:r>
      <w:r w:rsidRPr="00A746CB">
        <w:rPr>
          <w:szCs w:val="23"/>
        </w:rPr>
        <w:t>re</w:t>
      </w:r>
      <w:r w:rsidR="00DA113F">
        <w:rPr>
          <w:szCs w:val="23"/>
        </w:rPr>
        <w:t>a</w:t>
      </w:r>
      <w:r w:rsidRPr="00A746CB">
        <w:rPr>
          <w:szCs w:val="23"/>
        </w:rPr>
        <w:t xml:space="preserve"> </w:t>
      </w:r>
      <w:r w:rsidR="004742F8">
        <w:rPr>
          <w:szCs w:val="23"/>
        </w:rPr>
        <w:t xml:space="preserve">may </w:t>
      </w:r>
      <w:r w:rsidR="00DA113F">
        <w:rPr>
          <w:szCs w:val="23"/>
        </w:rPr>
        <w:t>have</w:t>
      </w:r>
      <w:r w:rsidR="004742F8">
        <w:rPr>
          <w:szCs w:val="23"/>
        </w:rPr>
        <w:t xml:space="preserve"> </w:t>
      </w:r>
      <w:r w:rsidR="00D12B31">
        <w:rPr>
          <w:szCs w:val="23"/>
        </w:rPr>
        <w:t xml:space="preserve">had </w:t>
      </w:r>
      <w:r w:rsidRPr="00A746CB">
        <w:rPr>
          <w:szCs w:val="23"/>
        </w:rPr>
        <w:t xml:space="preserve">important </w:t>
      </w:r>
      <w:r w:rsidR="007762DA">
        <w:rPr>
          <w:szCs w:val="23"/>
        </w:rPr>
        <w:t xml:space="preserve">geological </w:t>
      </w:r>
      <w:r w:rsidRPr="00A746CB">
        <w:rPr>
          <w:szCs w:val="23"/>
        </w:rPr>
        <w:t xml:space="preserve">connections </w:t>
      </w:r>
      <w:r w:rsidR="0011187E">
        <w:rPr>
          <w:szCs w:val="23"/>
        </w:rPr>
        <w:t>with</w:t>
      </w:r>
      <w:r w:rsidR="0011187E" w:rsidRPr="00A746CB">
        <w:rPr>
          <w:szCs w:val="23"/>
        </w:rPr>
        <w:t xml:space="preserve"> </w:t>
      </w:r>
      <w:r w:rsidR="0011187E">
        <w:rPr>
          <w:szCs w:val="23"/>
        </w:rPr>
        <w:t xml:space="preserve">the </w:t>
      </w:r>
      <w:r w:rsidRPr="00A746CB">
        <w:rPr>
          <w:szCs w:val="23"/>
        </w:rPr>
        <w:t xml:space="preserve">Alps. </w:t>
      </w:r>
      <w:r w:rsidR="00DA113F">
        <w:rPr>
          <w:szCs w:val="23"/>
        </w:rPr>
        <w:t xml:space="preserve">The </w:t>
      </w:r>
      <w:r w:rsidRPr="00A746CB">
        <w:rPr>
          <w:szCs w:val="23"/>
        </w:rPr>
        <w:t xml:space="preserve">compression tectonics </w:t>
      </w:r>
      <w:r w:rsidR="00DA113F">
        <w:rPr>
          <w:szCs w:val="23"/>
        </w:rPr>
        <w:t>of</w:t>
      </w:r>
      <w:r w:rsidR="00DA113F" w:rsidRPr="00A746CB">
        <w:rPr>
          <w:szCs w:val="23"/>
        </w:rPr>
        <w:t xml:space="preserve"> </w:t>
      </w:r>
      <w:r w:rsidR="00DA113F">
        <w:rPr>
          <w:szCs w:val="23"/>
        </w:rPr>
        <w:t xml:space="preserve">the Alps </w:t>
      </w:r>
      <w:r w:rsidR="004742F8">
        <w:rPr>
          <w:szCs w:val="23"/>
        </w:rPr>
        <w:t>ha</w:t>
      </w:r>
      <w:r w:rsidR="00DA113F">
        <w:rPr>
          <w:szCs w:val="23"/>
        </w:rPr>
        <w:t xml:space="preserve">s been interrupted </w:t>
      </w:r>
      <w:r w:rsidR="00545469">
        <w:rPr>
          <w:szCs w:val="23"/>
        </w:rPr>
        <w:t xml:space="preserve">and </w:t>
      </w:r>
      <w:r w:rsidR="00545469" w:rsidRPr="00A746CB">
        <w:rPr>
          <w:szCs w:val="23"/>
        </w:rPr>
        <w:t>supplanted by extension</w:t>
      </w:r>
      <w:r w:rsidR="00545469" w:rsidRPr="00DA113F">
        <w:rPr>
          <w:szCs w:val="23"/>
        </w:rPr>
        <w:t xml:space="preserve"> </w:t>
      </w:r>
      <w:r w:rsidR="00DA113F">
        <w:rPr>
          <w:szCs w:val="23"/>
        </w:rPr>
        <w:t xml:space="preserve">during the </w:t>
      </w:r>
      <w:r w:rsidR="00DA113F" w:rsidRPr="00A746CB">
        <w:rPr>
          <w:szCs w:val="23"/>
        </w:rPr>
        <w:t xml:space="preserve">Oligocene </w:t>
      </w:r>
      <w:r w:rsidR="00DA113F">
        <w:rPr>
          <w:szCs w:val="23"/>
        </w:rPr>
        <w:t>-</w:t>
      </w:r>
      <w:r w:rsidR="00DA113F" w:rsidRPr="00A746CB">
        <w:rPr>
          <w:szCs w:val="23"/>
        </w:rPr>
        <w:t xml:space="preserve"> early Miocene</w:t>
      </w:r>
      <w:r w:rsidR="004742F8">
        <w:rPr>
          <w:szCs w:val="23"/>
        </w:rPr>
        <w:t>.</w:t>
      </w:r>
      <w:r w:rsidRPr="00A746CB">
        <w:rPr>
          <w:szCs w:val="23"/>
        </w:rPr>
        <w:t xml:space="preserve"> </w:t>
      </w:r>
      <w:r w:rsidR="007762DA">
        <w:rPr>
          <w:szCs w:val="23"/>
        </w:rPr>
        <w:t xml:space="preserve">The </w:t>
      </w:r>
      <w:r w:rsidR="00F75613">
        <w:rPr>
          <w:szCs w:val="23"/>
        </w:rPr>
        <w:t xml:space="preserve">high </w:t>
      </w:r>
      <w:r w:rsidR="007762DA" w:rsidRPr="00A746CB">
        <w:rPr>
          <w:szCs w:val="23"/>
        </w:rPr>
        <w:t xml:space="preserve">geothermal gradient </w:t>
      </w:r>
      <w:r w:rsidR="007762DA">
        <w:rPr>
          <w:szCs w:val="23"/>
        </w:rPr>
        <w:t>due to e</w:t>
      </w:r>
      <w:r w:rsidR="004742F8">
        <w:rPr>
          <w:szCs w:val="23"/>
        </w:rPr>
        <w:t>xtension</w:t>
      </w:r>
      <w:r w:rsidR="007762DA">
        <w:rPr>
          <w:szCs w:val="23"/>
        </w:rPr>
        <w:t xml:space="preserve"> and necking </w:t>
      </w:r>
      <w:r w:rsidRPr="00A746CB">
        <w:rPr>
          <w:szCs w:val="23"/>
        </w:rPr>
        <w:t>cause</w:t>
      </w:r>
      <w:r w:rsidR="004742F8">
        <w:rPr>
          <w:szCs w:val="23"/>
        </w:rPr>
        <w:t>d</w:t>
      </w:r>
      <w:r w:rsidRPr="00A746CB">
        <w:rPr>
          <w:szCs w:val="23"/>
        </w:rPr>
        <w:t xml:space="preserve"> generation and</w:t>
      </w:r>
      <w:r w:rsidR="0037458D">
        <w:rPr>
          <w:szCs w:val="23"/>
        </w:rPr>
        <w:t xml:space="preserve"> uprise of calc-alkaline melts</w:t>
      </w:r>
      <w:r w:rsidR="0037458D">
        <w:rPr>
          <w:b/>
          <w:color w:val="0070C0"/>
          <w:szCs w:val="23"/>
          <w:vertAlign w:val="superscript"/>
        </w:rPr>
        <w:t>2</w:t>
      </w:r>
      <w:r w:rsidR="00FC1093">
        <w:rPr>
          <w:b/>
          <w:color w:val="0070C0"/>
          <w:szCs w:val="23"/>
          <w:vertAlign w:val="superscript"/>
        </w:rPr>
        <w:t>8</w:t>
      </w:r>
      <w:r w:rsidR="0037458D">
        <w:rPr>
          <w:b/>
          <w:color w:val="0070C0"/>
          <w:szCs w:val="23"/>
          <w:vertAlign w:val="superscript"/>
        </w:rPr>
        <w:t xml:space="preserve">, </w:t>
      </w:r>
      <w:r w:rsidR="00FC1093">
        <w:rPr>
          <w:b/>
          <w:color w:val="0070C0"/>
          <w:szCs w:val="23"/>
          <w:vertAlign w:val="superscript"/>
        </w:rPr>
        <w:t>29</w:t>
      </w:r>
      <w:r w:rsidRPr="00A746CB">
        <w:rPr>
          <w:szCs w:val="23"/>
        </w:rPr>
        <w:t xml:space="preserve">. By the end of early Miocene, igneous activity </w:t>
      </w:r>
      <w:r w:rsidR="00276088" w:rsidRPr="00A746CB">
        <w:rPr>
          <w:szCs w:val="23"/>
        </w:rPr>
        <w:lastRenderedPageBreak/>
        <w:t xml:space="preserve">and extension </w:t>
      </w:r>
      <w:r w:rsidRPr="00A746CB">
        <w:rPr>
          <w:szCs w:val="23"/>
        </w:rPr>
        <w:t>cease</w:t>
      </w:r>
      <w:r w:rsidR="004742F8">
        <w:rPr>
          <w:szCs w:val="23"/>
        </w:rPr>
        <w:t>d</w:t>
      </w:r>
      <w:r w:rsidRPr="00A746CB">
        <w:rPr>
          <w:szCs w:val="23"/>
        </w:rPr>
        <w:t xml:space="preserve"> </w:t>
      </w:r>
      <w:r w:rsidR="007F3330">
        <w:rPr>
          <w:szCs w:val="23"/>
        </w:rPr>
        <w:t xml:space="preserve">and </w:t>
      </w:r>
      <w:r w:rsidRPr="00A746CB">
        <w:rPr>
          <w:szCs w:val="23"/>
        </w:rPr>
        <w:t xml:space="preserve">the orogenic </w:t>
      </w:r>
      <w:r w:rsidR="00276088">
        <w:rPr>
          <w:szCs w:val="23"/>
        </w:rPr>
        <w:t>accretion</w:t>
      </w:r>
      <w:r w:rsidR="00276088" w:rsidRPr="00276088">
        <w:rPr>
          <w:szCs w:val="23"/>
        </w:rPr>
        <w:t xml:space="preserve"> </w:t>
      </w:r>
      <w:r w:rsidR="00244C26" w:rsidRPr="00A746CB">
        <w:rPr>
          <w:szCs w:val="23"/>
        </w:rPr>
        <w:t>of the Alps</w:t>
      </w:r>
      <w:r w:rsidR="00244C26" w:rsidRPr="00276088">
        <w:rPr>
          <w:szCs w:val="23"/>
        </w:rPr>
        <w:t xml:space="preserve"> </w:t>
      </w:r>
      <w:r w:rsidR="00276088" w:rsidRPr="00A746CB">
        <w:rPr>
          <w:szCs w:val="23"/>
        </w:rPr>
        <w:t>resum</w:t>
      </w:r>
      <w:r w:rsidR="007F3330">
        <w:rPr>
          <w:szCs w:val="23"/>
        </w:rPr>
        <w:t>e</w:t>
      </w:r>
      <w:r w:rsidR="004742F8">
        <w:rPr>
          <w:szCs w:val="23"/>
        </w:rPr>
        <w:t>d</w:t>
      </w:r>
      <w:r w:rsidRPr="00A746CB">
        <w:rPr>
          <w:szCs w:val="23"/>
        </w:rPr>
        <w:t xml:space="preserve">. </w:t>
      </w:r>
      <w:r w:rsidR="00913655">
        <w:rPr>
          <w:szCs w:val="23"/>
        </w:rPr>
        <w:t>T</w:t>
      </w:r>
      <w:r w:rsidRPr="00A746CB">
        <w:rPr>
          <w:szCs w:val="23"/>
        </w:rPr>
        <w:t xml:space="preserve">he resumption of lithosphere shortening </w:t>
      </w:r>
      <w:r w:rsidR="00343584">
        <w:rPr>
          <w:szCs w:val="23"/>
        </w:rPr>
        <w:t>in</w:t>
      </w:r>
      <w:r w:rsidRPr="00A746CB">
        <w:rPr>
          <w:szCs w:val="23"/>
        </w:rPr>
        <w:t xml:space="preserve"> the Alps </w:t>
      </w:r>
      <w:r w:rsidR="007F3330">
        <w:rPr>
          <w:szCs w:val="23"/>
        </w:rPr>
        <w:t xml:space="preserve">appears to </w:t>
      </w:r>
      <w:r w:rsidR="004742F8">
        <w:rPr>
          <w:szCs w:val="23"/>
        </w:rPr>
        <w:t xml:space="preserve">be </w:t>
      </w:r>
      <w:r w:rsidR="007F3330">
        <w:rPr>
          <w:szCs w:val="23"/>
        </w:rPr>
        <w:t xml:space="preserve">penecontemporaneous </w:t>
      </w:r>
      <w:r w:rsidR="004742F8">
        <w:rPr>
          <w:szCs w:val="23"/>
        </w:rPr>
        <w:t xml:space="preserve">with the </w:t>
      </w:r>
      <w:r w:rsidR="00244C26">
        <w:rPr>
          <w:szCs w:val="23"/>
        </w:rPr>
        <w:t xml:space="preserve">start of </w:t>
      </w:r>
      <w:r w:rsidR="004742F8" w:rsidRPr="00A746CB">
        <w:rPr>
          <w:szCs w:val="23"/>
        </w:rPr>
        <w:t xml:space="preserve">oceanic </w:t>
      </w:r>
      <w:r w:rsidR="004742F8">
        <w:rPr>
          <w:szCs w:val="23"/>
        </w:rPr>
        <w:t xml:space="preserve">opening of </w:t>
      </w:r>
      <w:r w:rsidR="00913655">
        <w:rPr>
          <w:szCs w:val="23"/>
        </w:rPr>
        <w:t xml:space="preserve">the </w:t>
      </w:r>
      <w:r w:rsidR="004742F8">
        <w:rPr>
          <w:szCs w:val="23"/>
        </w:rPr>
        <w:t xml:space="preserve">West </w:t>
      </w:r>
      <w:r w:rsidR="004742F8" w:rsidRPr="00A746CB">
        <w:rPr>
          <w:szCs w:val="23"/>
        </w:rPr>
        <w:t>Mediterranean</w:t>
      </w:r>
      <w:r w:rsidR="00913655">
        <w:rPr>
          <w:szCs w:val="23"/>
        </w:rPr>
        <w:t>.</w:t>
      </w:r>
    </w:p>
    <w:p w:rsidR="007D7A54" w:rsidRDefault="004B2CCF" w:rsidP="00890F3B">
      <w:pPr>
        <w:spacing w:line="240" w:lineRule="auto"/>
        <w:ind w:firstLine="709"/>
        <w:rPr>
          <w:szCs w:val="23"/>
        </w:rPr>
      </w:pPr>
      <w:r w:rsidRPr="00A746CB">
        <w:rPr>
          <w:szCs w:val="23"/>
        </w:rPr>
        <w:t xml:space="preserve">In conclusion, </w:t>
      </w:r>
      <w:r w:rsidR="00FB0413">
        <w:rPr>
          <w:szCs w:val="23"/>
        </w:rPr>
        <w:t xml:space="preserve">after </w:t>
      </w:r>
      <w:r w:rsidR="00FB0413" w:rsidRPr="00A746CB">
        <w:rPr>
          <w:szCs w:val="23"/>
        </w:rPr>
        <w:t>the pre-Oligocene Alpine accretion</w:t>
      </w:r>
      <w:r w:rsidR="00FB0413" w:rsidRPr="007E47B0">
        <w:rPr>
          <w:szCs w:val="23"/>
        </w:rPr>
        <w:t xml:space="preserve"> </w:t>
      </w:r>
      <w:r w:rsidR="00FB0413" w:rsidRPr="00A746CB">
        <w:rPr>
          <w:szCs w:val="23"/>
        </w:rPr>
        <w:t>linked</w:t>
      </w:r>
      <w:r w:rsidR="00FB0413" w:rsidRPr="007E47B0">
        <w:rPr>
          <w:szCs w:val="23"/>
        </w:rPr>
        <w:t xml:space="preserve"> </w:t>
      </w:r>
      <w:r w:rsidR="00FB0413" w:rsidRPr="00A746CB">
        <w:rPr>
          <w:szCs w:val="23"/>
        </w:rPr>
        <w:t xml:space="preserve">to SE polarity </w:t>
      </w:r>
      <w:r w:rsidRPr="00A746CB">
        <w:rPr>
          <w:szCs w:val="23"/>
        </w:rPr>
        <w:t xml:space="preserve">two most probable </w:t>
      </w:r>
      <w:r w:rsidR="004A32A7">
        <w:rPr>
          <w:szCs w:val="23"/>
        </w:rPr>
        <w:t>episodes</w:t>
      </w:r>
      <w:r w:rsidRPr="00A746CB">
        <w:rPr>
          <w:szCs w:val="23"/>
        </w:rPr>
        <w:t xml:space="preserve"> of tectonic and magmatic </w:t>
      </w:r>
      <w:r w:rsidR="00EA6B26">
        <w:rPr>
          <w:szCs w:val="23"/>
        </w:rPr>
        <w:t>activity</w:t>
      </w:r>
      <w:r w:rsidR="008E0292">
        <w:rPr>
          <w:szCs w:val="23"/>
        </w:rPr>
        <w:t xml:space="preserve"> </w:t>
      </w:r>
      <w:r w:rsidR="00EA6B26">
        <w:rPr>
          <w:szCs w:val="23"/>
        </w:rPr>
        <w:t>are</w:t>
      </w:r>
      <w:r w:rsidR="008E0292">
        <w:rPr>
          <w:szCs w:val="23"/>
        </w:rPr>
        <w:t xml:space="preserve"> recognized</w:t>
      </w:r>
      <w:r w:rsidR="00FB0413">
        <w:rPr>
          <w:szCs w:val="23"/>
        </w:rPr>
        <w:t>. The Oligocene-Burdigalian</w:t>
      </w:r>
      <w:r w:rsidR="00FB0413" w:rsidRPr="00FB0413">
        <w:rPr>
          <w:szCs w:val="23"/>
        </w:rPr>
        <w:t xml:space="preserve"> </w:t>
      </w:r>
      <w:r w:rsidR="004A32A7">
        <w:rPr>
          <w:szCs w:val="23"/>
        </w:rPr>
        <w:t>episode</w:t>
      </w:r>
      <w:r w:rsidRPr="00A746CB">
        <w:rPr>
          <w:szCs w:val="23"/>
        </w:rPr>
        <w:t xml:space="preserve"> </w:t>
      </w:r>
      <w:r w:rsidR="00FB0413">
        <w:rPr>
          <w:szCs w:val="23"/>
        </w:rPr>
        <w:t>(</w:t>
      </w:r>
      <w:r w:rsidRPr="00A746CB">
        <w:rPr>
          <w:szCs w:val="23"/>
        </w:rPr>
        <w:t>ca. 33/32 - 16 Ma</w:t>
      </w:r>
      <w:r w:rsidR="00FB0413">
        <w:rPr>
          <w:szCs w:val="23"/>
        </w:rPr>
        <w:t>)</w:t>
      </w:r>
      <w:r w:rsidRPr="00A746CB">
        <w:rPr>
          <w:szCs w:val="23"/>
        </w:rPr>
        <w:t xml:space="preserve"> saw rift activity in the absence of subduction. </w:t>
      </w:r>
      <w:r w:rsidR="00FB0413">
        <w:rPr>
          <w:szCs w:val="23"/>
        </w:rPr>
        <w:t>C</w:t>
      </w:r>
      <w:r w:rsidRPr="00A746CB">
        <w:rPr>
          <w:szCs w:val="23"/>
        </w:rPr>
        <w:t xml:space="preserve">alc-alkaline </w:t>
      </w:r>
      <w:r w:rsidR="0073748D" w:rsidRPr="00A746CB">
        <w:rPr>
          <w:szCs w:val="23"/>
        </w:rPr>
        <w:t xml:space="preserve">acidic </w:t>
      </w:r>
      <w:r w:rsidRPr="00A746CB">
        <w:rPr>
          <w:szCs w:val="23"/>
        </w:rPr>
        <w:t>magma</w:t>
      </w:r>
      <w:r w:rsidR="0073748D">
        <w:rPr>
          <w:szCs w:val="23"/>
        </w:rPr>
        <w:t>ti</w:t>
      </w:r>
      <w:r w:rsidRPr="00A746CB">
        <w:rPr>
          <w:szCs w:val="23"/>
        </w:rPr>
        <w:t>s</w:t>
      </w:r>
      <w:r w:rsidR="0073748D">
        <w:rPr>
          <w:szCs w:val="23"/>
        </w:rPr>
        <w:t>m</w:t>
      </w:r>
      <w:r w:rsidRPr="00A746CB">
        <w:rPr>
          <w:szCs w:val="23"/>
        </w:rPr>
        <w:t xml:space="preserve"> </w:t>
      </w:r>
      <w:r w:rsidR="003E3473">
        <w:rPr>
          <w:szCs w:val="23"/>
        </w:rPr>
        <w:t>of the Oligocene-Aquitanian (</w:t>
      </w:r>
      <w:r w:rsidR="003E3473" w:rsidRPr="00A746CB">
        <w:rPr>
          <w:szCs w:val="23"/>
        </w:rPr>
        <w:t>ca. 33/32 - 20 Ma</w:t>
      </w:r>
      <w:r w:rsidR="003E3473">
        <w:rPr>
          <w:szCs w:val="23"/>
        </w:rPr>
        <w:t>)</w:t>
      </w:r>
      <w:r w:rsidR="003E3473" w:rsidRPr="00A746CB">
        <w:rPr>
          <w:szCs w:val="23"/>
        </w:rPr>
        <w:t xml:space="preserve"> </w:t>
      </w:r>
      <w:r w:rsidRPr="00A746CB">
        <w:rPr>
          <w:szCs w:val="23"/>
        </w:rPr>
        <w:t>w</w:t>
      </w:r>
      <w:r w:rsidR="0073748D">
        <w:rPr>
          <w:szCs w:val="23"/>
        </w:rPr>
        <w:t>as</w:t>
      </w:r>
      <w:r w:rsidRPr="00A746CB">
        <w:rPr>
          <w:szCs w:val="23"/>
        </w:rPr>
        <w:t xml:space="preserve"> followed </w:t>
      </w:r>
      <w:r w:rsidR="003E3473">
        <w:rPr>
          <w:szCs w:val="23"/>
        </w:rPr>
        <w:t>by volcanism</w:t>
      </w:r>
      <w:r w:rsidR="003E3473" w:rsidRPr="0073748D">
        <w:rPr>
          <w:szCs w:val="23"/>
        </w:rPr>
        <w:t xml:space="preserve"> </w:t>
      </w:r>
      <w:r w:rsidR="003E3473">
        <w:rPr>
          <w:szCs w:val="23"/>
        </w:rPr>
        <w:t xml:space="preserve">of </w:t>
      </w:r>
      <w:r w:rsidR="0073748D">
        <w:rPr>
          <w:szCs w:val="23"/>
        </w:rPr>
        <w:t xml:space="preserve">bimodal, </w:t>
      </w:r>
      <w:r w:rsidR="0073748D" w:rsidRPr="00A746CB">
        <w:rPr>
          <w:szCs w:val="23"/>
        </w:rPr>
        <w:t>bas</w:t>
      </w:r>
      <w:r w:rsidR="0073748D">
        <w:rPr>
          <w:szCs w:val="23"/>
        </w:rPr>
        <w:t xml:space="preserve">ic – </w:t>
      </w:r>
      <w:r w:rsidR="003E3473">
        <w:rPr>
          <w:szCs w:val="23"/>
        </w:rPr>
        <w:t>acidic nature</w:t>
      </w:r>
      <w:r w:rsidR="0073748D" w:rsidRPr="00A746CB">
        <w:rPr>
          <w:szCs w:val="23"/>
        </w:rPr>
        <w:t xml:space="preserve"> </w:t>
      </w:r>
      <w:r w:rsidR="0073748D">
        <w:rPr>
          <w:szCs w:val="23"/>
        </w:rPr>
        <w:t>linked to</w:t>
      </w:r>
      <w:r w:rsidR="0073748D" w:rsidRPr="00A746CB">
        <w:rPr>
          <w:szCs w:val="23"/>
        </w:rPr>
        <w:t xml:space="preserve"> oceanic basin formation </w:t>
      </w:r>
      <w:r w:rsidR="0073748D">
        <w:rPr>
          <w:szCs w:val="23"/>
        </w:rPr>
        <w:t xml:space="preserve">of </w:t>
      </w:r>
      <w:r w:rsidR="003E3473">
        <w:rPr>
          <w:szCs w:val="23"/>
        </w:rPr>
        <w:t xml:space="preserve">the </w:t>
      </w:r>
      <w:r w:rsidR="0073748D" w:rsidRPr="00A746CB">
        <w:rPr>
          <w:szCs w:val="23"/>
        </w:rPr>
        <w:t>Burdigalian</w:t>
      </w:r>
      <w:r w:rsidR="0073748D">
        <w:rPr>
          <w:szCs w:val="23"/>
        </w:rPr>
        <w:t xml:space="preserve"> (</w:t>
      </w:r>
      <w:r w:rsidR="0073748D" w:rsidRPr="00A746CB">
        <w:rPr>
          <w:szCs w:val="23"/>
        </w:rPr>
        <w:t xml:space="preserve">ca. 20 </w:t>
      </w:r>
      <w:r w:rsidR="0073748D">
        <w:rPr>
          <w:szCs w:val="23"/>
        </w:rPr>
        <w:t>-</w:t>
      </w:r>
      <w:r w:rsidR="0073748D" w:rsidRPr="00A746CB">
        <w:rPr>
          <w:szCs w:val="23"/>
        </w:rPr>
        <w:t xml:space="preserve"> 16 Ma</w:t>
      </w:r>
      <w:r w:rsidR="0073748D">
        <w:rPr>
          <w:szCs w:val="23"/>
        </w:rPr>
        <w:t>)</w:t>
      </w:r>
      <w:r w:rsidRPr="00A746CB">
        <w:rPr>
          <w:szCs w:val="23"/>
        </w:rPr>
        <w:t xml:space="preserve">. </w:t>
      </w:r>
      <w:r w:rsidR="004A32A7">
        <w:rPr>
          <w:szCs w:val="23"/>
        </w:rPr>
        <w:t>In</w:t>
      </w:r>
      <w:r w:rsidR="003E3473">
        <w:rPr>
          <w:szCs w:val="23"/>
        </w:rPr>
        <w:t xml:space="preserve"> t</w:t>
      </w:r>
      <w:r w:rsidRPr="00A746CB">
        <w:rPr>
          <w:szCs w:val="23"/>
        </w:rPr>
        <w:t xml:space="preserve">he Langhian to Recent </w:t>
      </w:r>
      <w:r w:rsidR="003E3473">
        <w:rPr>
          <w:szCs w:val="23"/>
        </w:rPr>
        <w:t>(</w:t>
      </w:r>
      <w:r w:rsidRPr="00A746CB">
        <w:rPr>
          <w:szCs w:val="23"/>
        </w:rPr>
        <w:t>ca. 16/15 - 0 Ma</w:t>
      </w:r>
      <w:r w:rsidR="00FB0413">
        <w:rPr>
          <w:szCs w:val="23"/>
        </w:rPr>
        <w:t>)</w:t>
      </w:r>
      <w:r w:rsidR="004A32A7">
        <w:rPr>
          <w:szCs w:val="23"/>
        </w:rPr>
        <w:t xml:space="preserve"> episode</w:t>
      </w:r>
      <w:r w:rsidR="008731D3">
        <w:rPr>
          <w:szCs w:val="23"/>
        </w:rPr>
        <w:t>,</w:t>
      </w:r>
      <w:r w:rsidRPr="00A746CB">
        <w:rPr>
          <w:szCs w:val="23"/>
        </w:rPr>
        <w:t xml:space="preserve"> </w:t>
      </w:r>
      <w:r w:rsidR="00FB0413">
        <w:rPr>
          <w:szCs w:val="23"/>
        </w:rPr>
        <w:t xml:space="preserve">the </w:t>
      </w:r>
      <w:r w:rsidRPr="00A746CB">
        <w:rPr>
          <w:szCs w:val="23"/>
        </w:rPr>
        <w:t xml:space="preserve">tectonic and magmatic activity </w:t>
      </w:r>
      <w:r w:rsidR="00FB0413">
        <w:rPr>
          <w:szCs w:val="23"/>
        </w:rPr>
        <w:t>was</w:t>
      </w:r>
      <w:r w:rsidR="007E47B0">
        <w:rPr>
          <w:szCs w:val="23"/>
        </w:rPr>
        <w:t xml:space="preserve"> linked</w:t>
      </w:r>
      <w:r w:rsidR="003E3473">
        <w:rPr>
          <w:szCs w:val="23"/>
        </w:rPr>
        <w:t xml:space="preserve"> </w:t>
      </w:r>
      <w:r w:rsidR="007E47B0">
        <w:rPr>
          <w:szCs w:val="23"/>
        </w:rPr>
        <w:t>to</w:t>
      </w:r>
      <w:r w:rsidRPr="00A746CB">
        <w:rPr>
          <w:szCs w:val="23"/>
        </w:rPr>
        <w:t xml:space="preserve"> subduction showing WNW-direction</w:t>
      </w:r>
      <w:r w:rsidR="00C440F0">
        <w:rPr>
          <w:szCs w:val="23"/>
        </w:rPr>
        <w:t xml:space="preserve">. </w:t>
      </w:r>
      <w:r w:rsidR="00AB6CCF" w:rsidRPr="00DD7478">
        <w:t xml:space="preserve">Following the view of this work, the tectonic setting of the Apennine Macigno Formation showing pre-Langhian age (&gt; 16/15 Ma) was of graben-type </w:t>
      </w:r>
      <w:r w:rsidR="00AB6CCF">
        <w:t xml:space="preserve">whereas </w:t>
      </w:r>
      <w:r w:rsidR="00AB6CCF" w:rsidRPr="00DD7478">
        <w:t xml:space="preserve">the post-Burdigalian (&lt; 16/15 Ma) Marnoso-Arenacea </w:t>
      </w:r>
      <w:r w:rsidR="00AB6CCF">
        <w:t xml:space="preserve">had </w:t>
      </w:r>
      <w:r w:rsidR="00AB6CCF" w:rsidRPr="00DD7478">
        <w:t>setting of foredeep-type.</w:t>
      </w:r>
      <w:r w:rsidR="00274EB4">
        <w:t xml:space="preserve"> </w:t>
      </w:r>
      <w:r w:rsidRPr="00A746CB">
        <w:rPr>
          <w:szCs w:val="23"/>
        </w:rPr>
        <w:t>The supra-subduction</w:t>
      </w:r>
      <w:r w:rsidR="00EA6B26" w:rsidRPr="00EA6B26">
        <w:rPr>
          <w:szCs w:val="23"/>
        </w:rPr>
        <w:t xml:space="preserve"> </w:t>
      </w:r>
      <w:r w:rsidR="00EA6B26" w:rsidRPr="00A746CB">
        <w:rPr>
          <w:szCs w:val="23"/>
        </w:rPr>
        <w:t>formation</w:t>
      </w:r>
      <w:r w:rsidR="00EA6B26">
        <w:rPr>
          <w:szCs w:val="23"/>
        </w:rPr>
        <w:t xml:space="preserve"> of the </w:t>
      </w:r>
      <w:r w:rsidRPr="00A746CB">
        <w:rPr>
          <w:szCs w:val="23"/>
        </w:rPr>
        <w:t xml:space="preserve">Tyrrhenian </w:t>
      </w:r>
      <w:r w:rsidR="00395227" w:rsidRPr="00F5496F">
        <w:rPr>
          <w:szCs w:val="23"/>
        </w:rPr>
        <w:t xml:space="preserve">bathyal plains of Vavilov and Marsili </w:t>
      </w:r>
      <w:r w:rsidR="00EA6B26">
        <w:rPr>
          <w:szCs w:val="23"/>
        </w:rPr>
        <w:t>is</w:t>
      </w:r>
      <w:r w:rsidRPr="00A746CB">
        <w:rPr>
          <w:szCs w:val="23"/>
        </w:rPr>
        <w:t xml:space="preserve"> a fou</w:t>
      </w:r>
      <w:r w:rsidR="00615CD4">
        <w:rPr>
          <w:szCs w:val="23"/>
        </w:rPr>
        <w:t>r stage process</w:t>
      </w:r>
      <w:r w:rsidR="00DF1849">
        <w:rPr>
          <w:szCs w:val="23"/>
        </w:rPr>
        <w:t>.</w:t>
      </w:r>
      <w:r w:rsidR="00615CD4">
        <w:rPr>
          <w:szCs w:val="23"/>
        </w:rPr>
        <w:t xml:space="preserve"> </w:t>
      </w:r>
      <w:r w:rsidR="00DF1849">
        <w:rPr>
          <w:szCs w:val="23"/>
        </w:rPr>
        <w:t>T</w:t>
      </w:r>
      <w:r w:rsidR="00082A94">
        <w:rPr>
          <w:szCs w:val="23"/>
        </w:rPr>
        <w:t>he</w:t>
      </w:r>
      <w:r w:rsidR="00615CD4">
        <w:rPr>
          <w:szCs w:val="23"/>
        </w:rPr>
        <w:t xml:space="preserve"> short-lived </w:t>
      </w:r>
      <w:r w:rsidRPr="00A746CB">
        <w:rPr>
          <w:szCs w:val="23"/>
        </w:rPr>
        <w:t xml:space="preserve">late Miocene and late Pliocene </w:t>
      </w:r>
      <w:r w:rsidR="00082A94" w:rsidRPr="00A746CB">
        <w:rPr>
          <w:szCs w:val="23"/>
        </w:rPr>
        <w:t xml:space="preserve">stages </w:t>
      </w:r>
      <w:r w:rsidR="00EA6B26">
        <w:rPr>
          <w:szCs w:val="23"/>
        </w:rPr>
        <w:t>are</w:t>
      </w:r>
      <w:r w:rsidRPr="00A746CB">
        <w:rPr>
          <w:szCs w:val="23"/>
        </w:rPr>
        <w:t xml:space="preserve"> </w:t>
      </w:r>
      <w:r w:rsidR="00615CD4">
        <w:rPr>
          <w:szCs w:val="23"/>
        </w:rPr>
        <w:t>characterized</w:t>
      </w:r>
      <w:r w:rsidRPr="00A746CB">
        <w:rPr>
          <w:szCs w:val="23"/>
        </w:rPr>
        <w:t xml:space="preserve"> by strong </w:t>
      </w:r>
      <w:r w:rsidR="00615CD4">
        <w:rPr>
          <w:szCs w:val="23"/>
        </w:rPr>
        <w:t>spreading</w:t>
      </w:r>
      <w:r w:rsidR="004A32A7">
        <w:rPr>
          <w:szCs w:val="23"/>
        </w:rPr>
        <w:t>.</w:t>
      </w:r>
      <w:r w:rsidR="00DF1849">
        <w:rPr>
          <w:szCs w:val="23"/>
        </w:rPr>
        <w:t xml:space="preserve"> </w:t>
      </w:r>
      <w:r w:rsidR="004A32A7">
        <w:rPr>
          <w:szCs w:val="23"/>
        </w:rPr>
        <w:t>H</w:t>
      </w:r>
      <w:r w:rsidR="00E609BE">
        <w:rPr>
          <w:szCs w:val="23"/>
        </w:rPr>
        <w:t>yper</w:t>
      </w:r>
      <w:r w:rsidRPr="00A746CB">
        <w:rPr>
          <w:szCs w:val="23"/>
        </w:rPr>
        <w:t xml:space="preserve">extension deformation </w:t>
      </w:r>
      <w:r w:rsidR="004A32A7">
        <w:rPr>
          <w:szCs w:val="23"/>
        </w:rPr>
        <w:t>wa</w:t>
      </w:r>
      <w:r w:rsidR="00EA6B26">
        <w:rPr>
          <w:szCs w:val="23"/>
        </w:rPr>
        <w:t>s</w:t>
      </w:r>
      <w:r w:rsidR="00DF1849">
        <w:rPr>
          <w:szCs w:val="23"/>
        </w:rPr>
        <w:t xml:space="preserve"> accompanied by</w:t>
      </w:r>
      <w:r w:rsidRPr="00A746CB">
        <w:rPr>
          <w:szCs w:val="23"/>
        </w:rPr>
        <w:t xml:space="preserve"> horizontal accretion of the low-seated </w:t>
      </w:r>
      <w:r w:rsidR="007607C1" w:rsidRPr="00A746CB">
        <w:rPr>
          <w:szCs w:val="23"/>
        </w:rPr>
        <w:t>oceanic</w:t>
      </w:r>
      <w:r w:rsidRPr="00A746CB">
        <w:rPr>
          <w:szCs w:val="23"/>
        </w:rPr>
        <w:t xml:space="preserve"> crust. </w:t>
      </w:r>
      <w:r w:rsidR="00082A94">
        <w:rPr>
          <w:szCs w:val="23"/>
        </w:rPr>
        <w:t>The</w:t>
      </w:r>
      <w:r w:rsidR="00DF1849">
        <w:rPr>
          <w:szCs w:val="23"/>
        </w:rPr>
        <w:t xml:space="preserve"> </w:t>
      </w:r>
      <w:r w:rsidRPr="00A746CB">
        <w:rPr>
          <w:szCs w:val="23"/>
        </w:rPr>
        <w:t xml:space="preserve">Pliocene </w:t>
      </w:r>
      <w:r w:rsidR="00082A94">
        <w:rPr>
          <w:szCs w:val="23"/>
        </w:rPr>
        <w:t>(</w:t>
      </w:r>
      <w:r w:rsidR="00082A94" w:rsidRPr="000B112C">
        <w:rPr>
          <w:szCs w:val="23"/>
        </w:rPr>
        <w:t>5.33 – 1.87 Ma</w:t>
      </w:r>
      <w:r w:rsidR="00082A94">
        <w:rPr>
          <w:szCs w:val="23"/>
        </w:rPr>
        <w:t>)</w:t>
      </w:r>
      <w:r w:rsidR="00082A94" w:rsidRPr="00A746CB">
        <w:rPr>
          <w:szCs w:val="23"/>
        </w:rPr>
        <w:t xml:space="preserve"> </w:t>
      </w:r>
      <w:r w:rsidRPr="00A746CB">
        <w:rPr>
          <w:szCs w:val="23"/>
        </w:rPr>
        <w:t>and Quaternary</w:t>
      </w:r>
      <w:r w:rsidR="00082A94">
        <w:rPr>
          <w:szCs w:val="23"/>
        </w:rPr>
        <w:t xml:space="preserve"> (</w:t>
      </w:r>
      <w:r w:rsidR="00082A94" w:rsidRPr="00F5496F">
        <w:rPr>
          <w:szCs w:val="23"/>
        </w:rPr>
        <w:t>1</w:t>
      </w:r>
      <w:r w:rsidR="00AD5929">
        <w:rPr>
          <w:szCs w:val="23"/>
        </w:rPr>
        <w:t xml:space="preserve"> </w:t>
      </w:r>
      <w:r w:rsidR="00082A94" w:rsidRPr="00F5496F">
        <w:rPr>
          <w:szCs w:val="23"/>
        </w:rPr>
        <w:t>Ma to Recent</w:t>
      </w:r>
      <w:r w:rsidR="00DF1849">
        <w:rPr>
          <w:szCs w:val="23"/>
        </w:rPr>
        <w:t>)</w:t>
      </w:r>
      <w:r w:rsidRPr="00A746CB">
        <w:rPr>
          <w:szCs w:val="23"/>
        </w:rPr>
        <w:t xml:space="preserve"> </w:t>
      </w:r>
      <w:r w:rsidR="00010DC4">
        <w:rPr>
          <w:szCs w:val="23"/>
        </w:rPr>
        <w:t xml:space="preserve">episodes </w:t>
      </w:r>
      <w:r w:rsidR="00082A94">
        <w:rPr>
          <w:szCs w:val="23"/>
        </w:rPr>
        <w:t>we</w:t>
      </w:r>
      <w:r w:rsidR="00EA6B26">
        <w:rPr>
          <w:szCs w:val="23"/>
        </w:rPr>
        <w:t>re affected by</w:t>
      </w:r>
      <w:r w:rsidRPr="00A746CB">
        <w:rPr>
          <w:szCs w:val="23"/>
        </w:rPr>
        <w:t xml:space="preserve"> weak </w:t>
      </w:r>
      <w:r w:rsidR="00EA6B26">
        <w:rPr>
          <w:szCs w:val="23"/>
        </w:rPr>
        <w:t>spreading</w:t>
      </w:r>
      <w:r w:rsidR="00DC3632">
        <w:rPr>
          <w:szCs w:val="23"/>
        </w:rPr>
        <w:t xml:space="preserve"> (</w:t>
      </w:r>
      <w:r w:rsidR="00DC3632" w:rsidRPr="004174B1">
        <w:rPr>
          <w:i/>
          <w:szCs w:val="23"/>
        </w:rPr>
        <w:t xml:space="preserve">Supplementary </w:t>
      </w:r>
      <w:r w:rsidR="004174B1" w:rsidRPr="004174B1">
        <w:rPr>
          <w:i/>
          <w:szCs w:val="23"/>
        </w:rPr>
        <w:t>Info</w:t>
      </w:r>
      <w:r w:rsidR="00EB2C22" w:rsidRPr="004174B1">
        <w:rPr>
          <w:i/>
          <w:szCs w:val="23"/>
        </w:rPr>
        <w:t xml:space="preserve"> S2</w:t>
      </w:r>
      <w:r w:rsidR="00DC3632">
        <w:rPr>
          <w:szCs w:val="23"/>
        </w:rPr>
        <w:t>)</w:t>
      </w:r>
      <w:r w:rsidR="00EA6B26">
        <w:rPr>
          <w:szCs w:val="23"/>
        </w:rPr>
        <w:t>. W</w:t>
      </w:r>
      <w:r w:rsidR="00DF1849">
        <w:rPr>
          <w:szCs w:val="23"/>
        </w:rPr>
        <w:t>eak</w:t>
      </w:r>
      <w:r w:rsidR="009E6676">
        <w:rPr>
          <w:szCs w:val="23"/>
        </w:rPr>
        <w:t>,</w:t>
      </w:r>
      <w:r w:rsidR="00DF1849">
        <w:rPr>
          <w:szCs w:val="23"/>
        </w:rPr>
        <w:t xml:space="preserve"> </w:t>
      </w:r>
      <w:r w:rsidR="00AD5929">
        <w:rPr>
          <w:szCs w:val="23"/>
        </w:rPr>
        <w:t xml:space="preserve">localized </w:t>
      </w:r>
      <w:r w:rsidRPr="00A746CB">
        <w:rPr>
          <w:szCs w:val="23"/>
        </w:rPr>
        <w:t xml:space="preserve">extension </w:t>
      </w:r>
      <w:r w:rsidR="00082A94">
        <w:rPr>
          <w:szCs w:val="23"/>
        </w:rPr>
        <w:t>wa</w:t>
      </w:r>
      <w:r w:rsidR="00EA6B26">
        <w:rPr>
          <w:szCs w:val="23"/>
        </w:rPr>
        <w:t>s</w:t>
      </w:r>
      <w:r w:rsidR="00DF1849">
        <w:rPr>
          <w:szCs w:val="23"/>
        </w:rPr>
        <w:t xml:space="preserve"> accompanied by</w:t>
      </w:r>
      <w:r w:rsidR="00DF1849" w:rsidRPr="00A746CB">
        <w:rPr>
          <w:szCs w:val="23"/>
        </w:rPr>
        <w:t xml:space="preserve"> </w:t>
      </w:r>
      <w:r w:rsidRPr="00A746CB">
        <w:rPr>
          <w:szCs w:val="23"/>
        </w:rPr>
        <w:t>vertical accretion which produce</w:t>
      </w:r>
      <w:r w:rsidR="00010DC4">
        <w:rPr>
          <w:szCs w:val="23"/>
        </w:rPr>
        <w:t>d</w:t>
      </w:r>
      <w:r w:rsidRPr="00A746CB">
        <w:rPr>
          <w:szCs w:val="23"/>
        </w:rPr>
        <w:t xml:space="preserve"> high-standing </w:t>
      </w:r>
      <w:r w:rsidR="00010DC4" w:rsidRPr="00A746CB">
        <w:rPr>
          <w:szCs w:val="23"/>
        </w:rPr>
        <w:t xml:space="preserve">basaltic </w:t>
      </w:r>
      <w:r w:rsidRPr="00A746CB">
        <w:rPr>
          <w:szCs w:val="23"/>
        </w:rPr>
        <w:t>seamounts.</w:t>
      </w:r>
      <w:r w:rsidR="000B112C" w:rsidRPr="000B112C">
        <w:rPr>
          <w:szCs w:val="23"/>
        </w:rPr>
        <w:t xml:space="preserve"> MORB-type lavas (ODP655) </w:t>
      </w:r>
      <w:r w:rsidR="009E6676">
        <w:rPr>
          <w:szCs w:val="23"/>
        </w:rPr>
        <w:t>created</w:t>
      </w:r>
      <w:r w:rsidR="000B112C" w:rsidRPr="000B112C">
        <w:rPr>
          <w:szCs w:val="23"/>
        </w:rPr>
        <w:t xml:space="preserve"> the modest elevation of 4.3 Ma old</w:t>
      </w:r>
      <w:r w:rsidR="00DC3632" w:rsidRPr="00DC3632">
        <w:rPr>
          <w:b/>
          <w:color w:val="0070C0"/>
          <w:szCs w:val="23"/>
          <w:vertAlign w:val="superscript"/>
        </w:rPr>
        <w:t>3</w:t>
      </w:r>
      <w:r w:rsidR="001420BA">
        <w:rPr>
          <w:b/>
          <w:color w:val="0070C0"/>
          <w:szCs w:val="23"/>
          <w:vertAlign w:val="superscript"/>
        </w:rPr>
        <w:t>0</w:t>
      </w:r>
      <w:r w:rsidR="000B112C" w:rsidRPr="000B112C">
        <w:rPr>
          <w:szCs w:val="23"/>
        </w:rPr>
        <w:t xml:space="preserve"> Gortani ridge, NW of DSDP373</w:t>
      </w:r>
      <w:r w:rsidR="001420BA">
        <w:rPr>
          <w:szCs w:val="23"/>
        </w:rPr>
        <w:t xml:space="preserve"> (Fig. 4</w:t>
      </w:r>
      <w:r w:rsidR="000B112C">
        <w:rPr>
          <w:szCs w:val="23"/>
        </w:rPr>
        <w:t>)</w:t>
      </w:r>
      <w:r w:rsidR="000B112C" w:rsidRPr="000B112C">
        <w:rPr>
          <w:szCs w:val="23"/>
        </w:rPr>
        <w:t>. Afterwards, MORB volcanism migrate</w:t>
      </w:r>
      <w:r w:rsidR="00395227">
        <w:rPr>
          <w:szCs w:val="23"/>
        </w:rPr>
        <w:t>d</w:t>
      </w:r>
      <w:r w:rsidR="000B112C" w:rsidRPr="000B112C">
        <w:rPr>
          <w:szCs w:val="23"/>
        </w:rPr>
        <w:t xml:space="preserve"> </w:t>
      </w:r>
      <w:r w:rsidR="00AE1607" w:rsidRPr="000B112C">
        <w:rPr>
          <w:szCs w:val="23"/>
        </w:rPr>
        <w:t>ESE</w:t>
      </w:r>
      <w:r w:rsidR="004A32A7">
        <w:rPr>
          <w:szCs w:val="23"/>
        </w:rPr>
        <w:t>,</w:t>
      </w:r>
      <w:r w:rsidR="00AE1607" w:rsidRPr="000B112C">
        <w:rPr>
          <w:szCs w:val="23"/>
        </w:rPr>
        <w:t xml:space="preserve"> towards the hinge zone</w:t>
      </w:r>
      <w:r w:rsidR="004A32A7">
        <w:rPr>
          <w:szCs w:val="23"/>
        </w:rPr>
        <w:t xml:space="preserve">. </w:t>
      </w:r>
      <w:r w:rsidR="00AD5929" w:rsidRPr="00F5496F">
        <w:rPr>
          <w:szCs w:val="23"/>
        </w:rPr>
        <w:t>In the course of migration</w:t>
      </w:r>
      <w:r w:rsidR="009E6676">
        <w:rPr>
          <w:szCs w:val="23"/>
        </w:rPr>
        <w:t>,</w:t>
      </w:r>
      <w:r w:rsidR="00AD5929" w:rsidRPr="00AD5929">
        <w:rPr>
          <w:szCs w:val="23"/>
        </w:rPr>
        <w:t xml:space="preserve"> </w:t>
      </w:r>
      <w:r w:rsidR="00AD5929" w:rsidRPr="000B112C">
        <w:rPr>
          <w:szCs w:val="23"/>
        </w:rPr>
        <w:t>from Gortani</w:t>
      </w:r>
      <w:r w:rsidR="00AD5929">
        <w:rPr>
          <w:szCs w:val="23"/>
        </w:rPr>
        <w:t xml:space="preserve"> ridge to the axial volcanoes of </w:t>
      </w:r>
      <w:r w:rsidR="00AD5929" w:rsidRPr="000B112C">
        <w:rPr>
          <w:szCs w:val="23"/>
        </w:rPr>
        <w:t>Vavilov</w:t>
      </w:r>
      <w:r w:rsidR="00AD5929">
        <w:rPr>
          <w:szCs w:val="23"/>
        </w:rPr>
        <w:t xml:space="preserve"> (&lt; 2.4 Ma) and Marsili</w:t>
      </w:r>
      <w:r w:rsidR="00AD5929" w:rsidRPr="000B112C">
        <w:rPr>
          <w:szCs w:val="23"/>
        </w:rPr>
        <w:t xml:space="preserve"> </w:t>
      </w:r>
      <w:r w:rsidR="00AD5929">
        <w:rPr>
          <w:szCs w:val="23"/>
        </w:rPr>
        <w:t>(&lt; 0.8 Ma),</w:t>
      </w:r>
      <w:r w:rsidR="00AD5929" w:rsidRPr="000B112C">
        <w:rPr>
          <w:szCs w:val="23"/>
        </w:rPr>
        <w:t xml:space="preserve"> </w:t>
      </w:r>
      <w:r w:rsidR="00AD5929">
        <w:rPr>
          <w:szCs w:val="23"/>
        </w:rPr>
        <w:t>c</w:t>
      </w:r>
      <w:r w:rsidR="000B112C" w:rsidRPr="000B112C">
        <w:rPr>
          <w:szCs w:val="23"/>
        </w:rPr>
        <w:t xml:space="preserve">rest elevation </w:t>
      </w:r>
      <w:r w:rsidR="00AD5929">
        <w:rPr>
          <w:szCs w:val="23"/>
        </w:rPr>
        <w:t xml:space="preserve">increased. </w:t>
      </w:r>
      <w:r w:rsidR="009E6676">
        <w:rPr>
          <w:szCs w:val="23"/>
        </w:rPr>
        <w:t>Eventually, large</w:t>
      </w:r>
      <w:r w:rsidR="009E6676" w:rsidRPr="000B112C">
        <w:rPr>
          <w:szCs w:val="23"/>
        </w:rPr>
        <w:t xml:space="preserve"> magma </w:t>
      </w:r>
      <w:r w:rsidR="009E6676">
        <w:rPr>
          <w:szCs w:val="23"/>
        </w:rPr>
        <w:t xml:space="preserve">input </w:t>
      </w:r>
      <w:r w:rsidR="00AD5929">
        <w:rPr>
          <w:szCs w:val="23"/>
        </w:rPr>
        <w:t>formed</w:t>
      </w:r>
      <w:r w:rsidR="000B112C" w:rsidRPr="000B112C">
        <w:rPr>
          <w:szCs w:val="23"/>
        </w:rPr>
        <w:t xml:space="preserve"> </w:t>
      </w:r>
      <w:r w:rsidR="001420BA">
        <w:rPr>
          <w:szCs w:val="23"/>
        </w:rPr>
        <w:t>the ov</w:t>
      </w:r>
      <w:r w:rsidR="009E6676">
        <w:rPr>
          <w:szCs w:val="23"/>
        </w:rPr>
        <w:t>er-</w:t>
      </w:r>
      <w:r w:rsidR="00010DC4">
        <w:rPr>
          <w:szCs w:val="23"/>
        </w:rPr>
        <w:t>fed</w:t>
      </w:r>
      <w:r w:rsidR="009E6676">
        <w:rPr>
          <w:szCs w:val="23"/>
        </w:rPr>
        <w:t xml:space="preserve"> </w:t>
      </w:r>
      <w:r w:rsidR="00AD5929" w:rsidRPr="00F5496F">
        <w:rPr>
          <w:szCs w:val="23"/>
        </w:rPr>
        <w:t>Marsili</w:t>
      </w:r>
      <w:r w:rsidR="009E6676">
        <w:rPr>
          <w:szCs w:val="23"/>
        </w:rPr>
        <w:t xml:space="preserve"> volcano</w:t>
      </w:r>
      <w:r w:rsidR="00AD5929">
        <w:rPr>
          <w:szCs w:val="23"/>
        </w:rPr>
        <w:t xml:space="preserve">, </w:t>
      </w:r>
      <w:r w:rsidR="00AD5929" w:rsidRPr="00F5496F">
        <w:rPr>
          <w:szCs w:val="23"/>
        </w:rPr>
        <w:t xml:space="preserve">the last of the “sui generis” spreading </w:t>
      </w:r>
      <w:r w:rsidR="00AD5929">
        <w:rPr>
          <w:szCs w:val="23"/>
        </w:rPr>
        <w:t>axes</w:t>
      </w:r>
      <w:r w:rsidR="00AD5929" w:rsidRPr="00F5496F">
        <w:rPr>
          <w:szCs w:val="23"/>
        </w:rPr>
        <w:t xml:space="preserve"> of the Tyrrhenian</w:t>
      </w:r>
      <w:r w:rsidR="00AD5929">
        <w:rPr>
          <w:szCs w:val="23"/>
        </w:rPr>
        <w:t>.</w:t>
      </w:r>
      <w:r w:rsidR="000B112C" w:rsidRPr="000B112C">
        <w:rPr>
          <w:szCs w:val="23"/>
        </w:rPr>
        <w:t xml:space="preserve"> </w:t>
      </w:r>
      <w:r w:rsidR="00395227">
        <w:rPr>
          <w:szCs w:val="23"/>
        </w:rPr>
        <w:t>W</w:t>
      </w:r>
      <w:r w:rsidR="000B112C" w:rsidRPr="000B112C">
        <w:rPr>
          <w:szCs w:val="23"/>
        </w:rPr>
        <w:t xml:space="preserve">eak horizontal deformation </w:t>
      </w:r>
      <w:r w:rsidR="00395227">
        <w:rPr>
          <w:szCs w:val="23"/>
        </w:rPr>
        <w:t>is</w:t>
      </w:r>
      <w:r w:rsidR="000B112C" w:rsidRPr="000B112C">
        <w:rPr>
          <w:szCs w:val="23"/>
        </w:rPr>
        <w:t xml:space="preserve"> linked to ascent and emplacement of </w:t>
      </w:r>
      <w:r w:rsidR="00395227">
        <w:rPr>
          <w:szCs w:val="23"/>
        </w:rPr>
        <w:t xml:space="preserve">&lt; 0.5 Ma old </w:t>
      </w:r>
      <w:r w:rsidR="000B112C" w:rsidRPr="000B112C">
        <w:rPr>
          <w:szCs w:val="23"/>
        </w:rPr>
        <w:t xml:space="preserve">basalt melts </w:t>
      </w:r>
      <w:r w:rsidR="00395227">
        <w:rPr>
          <w:szCs w:val="23"/>
        </w:rPr>
        <w:t xml:space="preserve">of </w:t>
      </w:r>
      <w:r w:rsidR="00395227" w:rsidRPr="000B112C">
        <w:rPr>
          <w:szCs w:val="23"/>
        </w:rPr>
        <w:t>alkaline</w:t>
      </w:r>
      <w:r w:rsidR="00395227">
        <w:rPr>
          <w:szCs w:val="23"/>
        </w:rPr>
        <w:t xml:space="preserve"> type</w:t>
      </w:r>
      <w:r w:rsidR="00395227" w:rsidRPr="000B112C">
        <w:rPr>
          <w:szCs w:val="23"/>
        </w:rPr>
        <w:t xml:space="preserve"> </w:t>
      </w:r>
      <w:r w:rsidR="000B112C" w:rsidRPr="000B112C">
        <w:rPr>
          <w:szCs w:val="23"/>
        </w:rPr>
        <w:t>in the crest of Vavilov volcano</w:t>
      </w:r>
      <w:r w:rsidR="00F5496F" w:rsidRPr="00F5496F">
        <w:rPr>
          <w:b/>
          <w:color w:val="0070C0"/>
          <w:szCs w:val="23"/>
          <w:vertAlign w:val="superscript"/>
        </w:rPr>
        <w:t>11</w:t>
      </w:r>
      <w:r w:rsidR="000B112C" w:rsidRPr="000B112C">
        <w:rPr>
          <w:szCs w:val="23"/>
        </w:rPr>
        <w:t>.</w:t>
      </w:r>
    </w:p>
    <w:p w:rsidR="00890F3B" w:rsidRPr="00A746CB" w:rsidRDefault="004B2CCF" w:rsidP="00890F3B">
      <w:pPr>
        <w:spacing w:line="240" w:lineRule="auto"/>
        <w:ind w:firstLine="709"/>
        <w:rPr>
          <w:szCs w:val="23"/>
        </w:rPr>
      </w:pPr>
      <w:r w:rsidRPr="00A746CB">
        <w:rPr>
          <w:szCs w:val="23"/>
        </w:rPr>
        <w:t xml:space="preserve">As the Tyrrhenian part of OAA was affected by the late Miocene strong oceanic spreading, hyperextension </w:t>
      </w:r>
      <w:r w:rsidR="008E0292">
        <w:rPr>
          <w:szCs w:val="23"/>
        </w:rPr>
        <w:t xml:space="preserve">occurred also in </w:t>
      </w:r>
      <w:r w:rsidRPr="00A746CB">
        <w:rPr>
          <w:szCs w:val="23"/>
        </w:rPr>
        <w:t xml:space="preserve">the </w:t>
      </w:r>
      <w:r w:rsidR="00DF1849">
        <w:rPr>
          <w:szCs w:val="23"/>
        </w:rPr>
        <w:t xml:space="preserve">adjacent </w:t>
      </w:r>
      <w:r w:rsidR="00DF1849" w:rsidRPr="00A746CB">
        <w:rPr>
          <w:szCs w:val="23"/>
        </w:rPr>
        <w:t xml:space="preserve">Hercynian </w:t>
      </w:r>
      <w:r w:rsidRPr="00A746CB">
        <w:rPr>
          <w:szCs w:val="23"/>
        </w:rPr>
        <w:t xml:space="preserve">margin of Sardinia. </w:t>
      </w:r>
      <w:r w:rsidR="008E0292">
        <w:rPr>
          <w:szCs w:val="23"/>
        </w:rPr>
        <w:t>By contrast</w:t>
      </w:r>
      <w:r w:rsidRPr="00A746CB">
        <w:rPr>
          <w:szCs w:val="23"/>
        </w:rPr>
        <w:t xml:space="preserve">, the </w:t>
      </w:r>
      <w:r w:rsidR="00995F91" w:rsidRPr="00A746CB">
        <w:rPr>
          <w:szCs w:val="23"/>
        </w:rPr>
        <w:t xml:space="preserve">north Algerian </w:t>
      </w:r>
      <w:r w:rsidRPr="00A746CB">
        <w:rPr>
          <w:szCs w:val="23"/>
        </w:rPr>
        <w:t xml:space="preserve">oceanic opening and that </w:t>
      </w:r>
      <w:r w:rsidR="00995F91">
        <w:rPr>
          <w:szCs w:val="23"/>
        </w:rPr>
        <w:t xml:space="preserve">of </w:t>
      </w:r>
      <w:r w:rsidR="00995F91" w:rsidRPr="00A746CB">
        <w:rPr>
          <w:szCs w:val="23"/>
        </w:rPr>
        <w:t>Sardinia</w:t>
      </w:r>
      <w:r w:rsidR="00995F91">
        <w:rPr>
          <w:szCs w:val="23"/>
        </w:rPr>
        <w:t>-</w:t>
      </w:r>
      <w:r w:rsidR="00995F91" w:rsidRPr="00A746CB">
        <w:rPr>
          <w:szCs w:val="23"/>
        </w:rPr>
        <w:t xml:space="preserve">Provence </w:t>
      </w:r>
      <w:r w:rsidRPr="00A746CB">
        <w:rPr>
          <w:szCs w:val="23"/>
        </w:rPr>
        <w:t xml:space="preserve">were </w:t>
      </w:r>
      <w:r w:rsidR="008E0292">
        <w:rPr>
          <w:szCs w:val="23"/>
        </w:rPr>
        <w:t>entirely</w:t>
      </w:r>
      <w:r w:rsidR="008E0292" w:rsidRPr="00A746CB">
        <w:rPr>
          <w:szCs w:val="23"/>
        </w:rPr>
        <w:t xml:space="preserve"> </w:t>
      </w:r>
      <w:r w:rsidRPr="00A746CB">
        <w:rPr>
          <w:szCs w:val="23"/>
        </w:rPr>
        <w:t xml:space="preserve">located </w:t>
      </w:r>
      <w:r w:rsidR="008E0292" w:rsidRPr="00A746CB">
        <w:rPr>
          <w:szCs w:val="23"/>
        </w:rPr>
        <w:t xml:space="preserve">respectively </w:t>
      </w:r>
      <w:r w:rsidRPr="00A746CB">
        <w:rPr>
          <w:szCs w:val="23"/>
        </w:rPr>
        <w:t xml:space="preserve">in the OAA and the Hercynian European lithosphere. In this view, </w:t>
      </w:r>
      <w:r w:rsidR="007F204D">
        <w:rPr>
          <w:szCs w:val="23"/>
        </w:rPr>
        <w:t xml:space="preserve">it appears that </w:t>
      </w:r>
      <w:r w:rsidR="008E0292" w:rsidRPr="00A746CB">
        <w:rPr>
          <w:szCs w:val="23"/>
        </w:rPr>
        <w:t xml:space="preserve">the tectonic mode linked to </w:t>
      </w:r>
      <w:r w:rsidRPr="00A746CB">
        <w:rPr>
          <w:szCs w:val="23"/>
        </w:rPr>
        <w:t xml:space="preserve">the Tyrrhenian continent-ocean transition </w:t>
      </w:r>
      <w:r w:rsidR="007F204D">
        <w:rPr>
          <w:szCs w:val="23"/>
        </w:rPr>
        <w:t>could</w:t>
      </w:r>
      <w:r w:rsidR="007F204D" w:rsidRPr="00A746CB">
        <w:rPr>
          <w:szCs w:val="23"/>
        </w:rPr>
        <w:t xml:space="preserve"> be diverse</w:t>
      </w:r>
      <w:r w:rsidR="007F204D">
        <w:rPr>
          <w:szCs w:val="23"/>
        </w:rPr>
        <w:t xml:space="preserve"> from that of</w:t>
      </w:r>
      <w:r w:rsidR="00995F91">
        <w:rPr>
          <w:szCs w:val="23"/>
        </w:rPr>
        <w:t xml:space="preserve"> </w:t>
      </w:r>
      <w:r w:rsidR="00995F91" w:rsidRPr="00A746CB">
        <w:rPr>
          <w:szCs w:val="23"/>
        </w:rPr>
        <w:t>the Burdigalian opening</w:t>
      </w:r>
      <w:r w:rsidR="007D78CC">
        <w:rPr>
          <w:szCs w:val="23"/>
        </w:rPr>
        <w:t xml:space="preserve">. </w:t>
      </w:r>
      <w:r w:rsidR="00BF3DA1">
        <w:rPr>
          <w:szCs w:val="23"/>
        </w:rPr>
        <w:t xml:space="preserve">The space-time </w:t>
      </w:r>
      <w:r w:rsidR="00CF183F">
        <w:rPr>
          <w:szCs w:val="23"/>
        </w:rPr>
        <w:t>analysis</w:t>
      </w:r>
      <w:r w:rsidR="00BF3DA1">
        <w:rPr>
          <w:szCs w:val="23"/>
        </w:rPr>
        <w:t xml:space="preserve"> indicate</w:t>
      </w:r>
      <w:r w:rsidR="00B65609">
        <w:rPr>
          <w:szCs w:val="23"/>
        </w:rPr>
        <w:t>s</w:t>
      </w:r>
      <w:r w:rsidR="00BF3DA1">
        <w:rPr>
          <w:szCs w:val="23"/>
        </w:rPr>
        <w:t xml:space="preserve"> </w:t>
      </w:r>
      <w:r w:rsidR="007D78CC">
        <w:rPr>
          <w:szCs w:val="23"/>
        </w:rPr>
        <w:t>that calc-alkaline volcanism</w:t>
      </w:r>
      <w:r w:rsidR="00DD227F">
        <w:rPr>
          <w:szCs w:val="23"/>
        </w:rPr>
        <w:t xml:space="preserve"> and extension</w:t>
      </w:r>
      <w:r w:rsidR="007D78CC">
        <w:rPr>
          <w:szCs w:val="23"/>
        </w:rPr>
        <w:t xml:space="preserve"> </w:t>
      </w:r>
      <w:r w:rsidR="00390D3A">
        <w:rPr>
          <w:szCs w:val="23"/>
        </w:rPr>
        <w:t xml:space="preserve">occur also in the </w:t>
      </w:r>
      <w:r w:rsidR="00390D3A" w:rsidRPr="00EB2C22">
        <w:rPr>
          <w:szCs w:val="23"/>
        </w:rPr>
        <w:t>absence</w:t>
      </w:r>
      <w:r w:rsidR="007D78CC">
        <w:rPr>
          <w:szCs w:val="23"/>
        </w:rPr>
        <w:t xml:space="preserve"> </w:t>
      </w:r>
      <w:r w:rsidR="00390D3A">
        <w:rPr>
          <w:szCs w:val="23"/>
        </w:rPr>
        <w:t>of</w:t>
      </w:r>
      <w:r w:rsidR="007D78CC" w:rsidRPr="00A746CB">
        <w:rPr>
          <w:szCs w:val="23"/>
        </w:rPr>
        <w:t xml:space="preserve"> </w:t>
      </w:r>
      <w:r w:rsidR="007D78CC">
        <w:rPr>
          <w:szCs w:val="23"/>
        </w:rPr>
        <w:t>subduction.</w:t>
      </w:r>
    </w:p>
    <w:p w:rsidR="00056049" w:rsidRPr="00A746CB" w:rsidRDefault="00056049" w:rsidP="00056049">
      <w:pPr>
        <w:spacing w:line="240" w:lineRule="auto"/>
        <w:rPr>
          <w:szCs w:val="23"/>
        </w:rPr>
      </w:pPr>
    </w:p>
    <w:p w:rsidR="00D44308" w:rsidRPr="00A746CB" w:rsidRDefault="00D44308" w:rsidP="00D63C2A">
      <w:pPr>
        <w:pStyle w:val="Testonormale1"/>
        <w:spacing w:line="240" w:lineRule="auto"/>
        <w:jc w:val="both"/>
        <w:rPr>
          <w:rFonts w:ascii="Times New Roman" w:hAnsi="Times New Roman" w:cs="Times New Roman"/>
          <w:sz w:val="24"/>
          <w:szCs w:val="23"/>
          <w:lang w:val="en-GB"/>
        </w:rPr>
      </w:pPr>
      <w:r w:rsidRPr="00A746CB">
        <w:rPr>
          <w:rFonts w:ascii="Times New Roman" w:hAnsi="Times New Roman" w:cs="Times New Roman"/>
          <w:b/>
          <w:sz w:val="24"/>
          <w:szCs w:val="23"/>
          <w:lang w:val="en-GB"/>
        </w:rPr>
        <w:t xml:space="preserve">Acknowledgements. </w:t>
      </w:r>
      <w:r w:rsidRPr="00A746CB">
        <w:rPr>
          <w:rFonts w:ascii="Times New Roman" w:hAnsi="Times New Roman" w:cs="Times New Roman"/>
          <w:sz w:val="24"/>
          <w:szCs w:val="23"/>
          <w:lang w:val="en-GB" w:eastAsia="en-GB"/>
        </w:rPr>
        <w:t xml:space="preserve">F. </w:t>
      </w:r>
      <w:r w:rsidRPr="00A746CB">
        <w:rPr>
          <w:rFonts w:ascii="Times New Roman" w:hAnsi="Times New Roman" w:cs="Times New Roman"/>
          <w:sz w:val="24"/>
          <w:szCs w:val="23"/>
          <w:lang w:val="en-GB"/>
        </w:rPr>
        <w:t xml:space="preserve">Guerrera generously contributed to the review of the salient characteristics of the allochthonous volcanic sedimentary rocks of the Apennine-Maghrebid thrusts. I thank </w:t>
      </w:r>
      <w:r w:rsidR="00690E44" w:rsidRPr="00A746CB">
        <w:rPr>
          <w:rFonts w:ascii="Times New Roman" w:hAnsi="Times New Roman" w:cs="Times New Roman"/>
          <w:sz w:val="24"/>
          <w:szCs w:val="23"/>
          <w:lang w:val="en-GB"/>
        </w:rPr>
        <w:t>one</w:t>
      </w:r>
      <w:r w:rsidRPr="00A746CB">
        <w:rPr>
          <w:rFonts w:ascii="Times New Roman" w:hAnsi="Times New Roman" w:cs="Times New Roman"/>
          <w:sz w:val="24"/>
          <w:szCs w:val="23"/>
          <w:lang w:val="en-GB"/>
        </w:rPr>
        <w:t xml:space="preserve"> anonymous reviewer and E. Bonatti for insightful suggestions which allowed to improve the quality of the article. There has been helpful exchange of ideas with H. Bellon, C. Doglioni, E. Gueguen, K. Kastens, M. Ligi, M. Lustrino, A. Malinverno, M. Mattioli, N. d’Oraye, J.G. Sclater and N. Zitellini. The report of the Pieve Santo Stefano buried volcanic body was obtained by courtesy of EN</w:t>
      </w:r>
      <w:r w:rsidR="007C07E0">
        <w:rPr>
          <w:rFonts w:ascii="Times New Roman" w:hAnsi="Times New Roman" w:cs="Times New Roman"/>
          <w:sz w:val="24"/>
          <w:szCs w:val="23"/>
          <w:lang w:val="en-GB"/>
        </w:rPr>
        <w:t>I/AGIP, Exploration division</w:t>
      </w:r>
      <w:r w:rsidRPr="00A746CB">
        <w:rPr>
          <w:rFonts w:ascii="Times New Roman" w:hAnsi="Times New Roman" w:cs="Times New Roman"/>
          <w:sz w:val="24"/>
          <w:szCs w:val="23"/>
          <w:lang w:val="en-GB"/>
        </w:rPr>
        <w:t xml:space="preserve">. The article </w:t>
      </w:r>
      <w:r w:rsidRPr="00A746CB">
        <w:rPr>
          <w:rFonts w:ascii="Times New Roman" w:hAnsi="Times New Roman" w:cs="Times New Roman"/>
          <w:sz w:val="24"/>
          <w:szCs w:val="23"/>
          <w:lang w:val="en-GB" w:eastAsia="en-GB"/>
        </w:rPr>
        <w:t>is dedicated to the memory of Mario Fornaseri, Michele Deriu, Renato Funiciello, Fabrizio Innocenti, Raimondo Selli. I</w:t>
      </w:r>
      <w:r w:rsidRPr="00A746CB">
        <w:rPr>
          <w:rFonts w:ascii="Times New Roman" w:hAnsi="Times New Roman" w:cs="Times New Roman"/>
          <w:sz w:val="24"/>
          <w:szCs w:val="23"/>
          <w:lang w:val="en-GB"/>
        </w:rPr>
        <w:t>t would never have b</w:t>
      </w:r>
      <w:r w:rsidR="00C16657">
        <w:rPr>
          <w:rFonts w:ascii="Times New Roman" w:hAnsi="Times New Roman" w:cs="Times New Roman"/>
          <w:sz w:val="24"/>
          <w:szCs w:val="23"/>
          <w:lang w:val="en-GB"/>
        </w:rPr>
        <w:t>een possible without Maria Pia.</w:t>
      </w:r>
    </w:p>
    <w:p w:rsidR="00025D07" w:rsidRDefault="00025D07" w:rsidP="00025D07">
      <w:pPr>
        <w:pStyle w:val="NormaleWeb"/>
        <w:spacing w:line="240" w:lineRule="auto"/>
        <w:ind w:hanging="284"/>
        <w:contextualSpacing/>
        <w:rPr>
          <w:lang w:val="en-GB"/>
        </w:rPr>
      </w:pPr>
      <w:r w:rsidRPr="00D427E1">
        <w:rPr>
          <w:szCs w:val="23"/>
          <w:lang w:val="en-GB"/>
        </w:rPr>
        <w:t>1.</w:t>
      </w:r>
      <w:r>
        <w:rPr>
          <w:lang w:val="en-GB"/>
        </w:rPr>
        <w:t xml:space="preserve"> Ligi, M. &amp;</w:t>
      </w:r>
      <w:r w:rsidRPr="00DD32EA">
        <w:rPr>
          <w:lang w:val="en-GB"/>
        </w:rPr>
        <w:t xml:space="preserve"> Bortoluzzi, G. Plotmap: geophysical and geological applic</w:t>
      </w:r>
      <w:r>
        <w:rPr>
          <w:lang w:val="en-GB"/>
        </w:rPr>
        <w:t xml:space="preserve">ations of good standard quality </w:t>
      </w:r>
      <w:r w:rsidRPr="00DD32EA">
        <w:rPr>
          <w:lang w:val="en-GB"/>
        </w:rPr>
        <w:t>cartographic</w:t>
      </w:r>
      <w:r>
        <w:rPr>
          <w:lang w:val="en-GB"/>
        </w:rPr>
        <w:t xml:space="preserve"> </w:t>
      </w:r>
      <w:r w:rsidRPr="00DD32EA">
        <w:rPr>
          <w:lang w:val="en-GB"/>
        </w:rPr>
        <w:t xml:space="preserve">software. Computers and Geosciences </w:t>
      </w:r>
      <w:r w:rsidRPr="00DD32EA">
        <w:rPr>
          <w:b/>
          <w:lang w:val="en-GB"/>
        </w:rPr>
        <w:t>15</w:t>
      </w:r>
      <w:r w:rsidRPr="00DD32EA">
        <w:rPr>
          <w:lang w:val="en-GB"/>
        </w:rPr>
        <w:t>, 519–585</w:t>
      </w:r>
      <w:r>
        <w:rPr>
          <w:lang w:val="en-GB"/>
        </w:rPr>
        <w:t xml:space="preserve"> (</w:t>
      </w:r>
      <w:r w:rsidRPr="00DD32EA">
        <w:rPr>
          <w:lang w:val="en-GB"/>
        </w:rPr>
        <w:t>1989</w:t>
      </w:r>
      <w:r>
        <w:rPr>
          <w:lang w:val="en-GB"/>
        </w:rPr>
        <w:t>)</w:t>
      </w:r>
      <w:r w:rsidRPr="00DD32EA">
        <w:rPr>
          <w:lang w:val="en-GB"/>
        </w:rPr>
        <w:t>.</w:t>
      </w:r>
    </w:p>
    <w:p w:rsidR="00025D07" w:rsidRPr="00A746CB" w:rsidRDefault="00025D07" w:rsidP="00025D07">
      <w:pPr>
        <w:pStyle w:val="NormaleWeb"/>
        <w:spacing w:before="0" w:after="0" w:line="240" w:lineRule="auto"/>
        <w:ind w:hanging="284"/>
        <w:contextualSpacing/>
        <w:rPr>
          <w:szCs w:val="23"/>
          <w:lang w:val="en-GB"/>
        </w:rPr>
      </w:pPr>
      <w:r>
        <w:rPr>
          <w:szCs w:val="23"/>
          <w:lang w:val="en-GB"/>
        </w:rPr>
        <w:t xml:space="preserve">2. </w:t>
      </w:r>
      <w:r w:rsidRPr="00D427E1">
        <w:rPr>
          <w:bCs/>
          <w:lang w:val="en-GB"/>
        </w:rPr>
        <w:t>Gueguen</w:t>
      </w:r>
      <w:r>
        <w:rPr>
          <w:bCs/>
          <w:lang w:val="en-GB"/>
        </w:rPr>
        <w:t>,</w:t>
      </w:r>
      <w:r w:rsidRPr="00D427E1">
        <w:rPr>
          <w:bCs/>
          <w:lang w:val="en-GB"/>
        </w:rPr>
        <w:t xml:space="preserve"> </w:t>
      </w:r>
      <w:r>
        <w:rPr>
          <w:bCs/>
          <w:lang w:val="en-GB"/>
        </w:rPr>
        <w:t xml:space="preserve">E., </w:t>
      </w:r>
      <w:r w:rsidRPr="00A746CB">
        <w:rPr>
          <w:szCs w:val="23"/>
          <w:lang w:val="en-GB"/>
        </w:rPr>
        <w:t>Doglioni</w:t>
      </w:r>
      <w:r>
        <w:rPr>
          <w:szCs w:val="23"/>
          <w:lang w:val="en-GB"/>
        </w:rPr>
        <w:t>,</w:t>
      </w:r>
      <w:r w:rsidRPr="00A746CB">
        <w:rPr>
          <w:szCs w:val="23"/>
          <w:lang w:val="en-GB"/>
        </w:rPr>
        <w:t xml:space="preserve"> C. </w:t>
      </w:r>
      <w:r>
        <w:rPr>
          <w:szCs w:val="23"/>
          <w:lang w:val="en-GB"/>
        </w:rPr>
        <w:t xml:space="preserve">&amp;. </w:t>
      </w:r>
      <w:r w:rsidRPr="00A746CB">
        <w:rPr>
          <w:szCs w:val="23"/>
          <w:lang w:val="en-GB"/>
        </w:rPr>
        <w:t>Fernandez M</w:t>
      </w:r>
      <w:r>
        <w:rPr>
          <w:szCs w:val="23"/>
          <w:lang w:val="en-GB"/>
        </w:rPr>
        <w:t>.</w:t>
      </w:r>
      <w:r w:rsidRPr="00A746CB">
        <w:rPr>
          <w:szCs w:val="23"/>
          <w:lang w:val="en-GB"/>
        </w:rPr>
        <w:t xml:space="preserve"> On the post-25 Ma geodynamic evolution of the Western Mediterranean. </w:t>
      </w:r>
      <w:r w:rsidRPr="006145F4">
        <w:rPr>
          <w:iCs/>
          <w:szCs w:val="23"/>
          <w:lang w:val="en-GB"/>
        </w:rPr>
        <w:t>Tectonophysics</w:t>
      </w:r>
      <w:r w:rsidRPr="00A746CB">
        <w:rPr>
          <w:i/>
          <w:szCs w:val="23"/>
          <w:lang w:val="en-GB"/>
        </w:rPr>
        <w:t xml:space="preserve">, </w:t>
      </w:r>
      <w:r w:rsidRPr="000E60DC">
        <w:rPr>
          <w:b/>
          <w:bCs/>
          <w:szCs w:val="23"/>
          <w:lang w:val="en-GB"/>
        </w:rPr>
        <w:t>298</w:t>
      </w:r>
      <w:r w:rsidRPr="00A746CB">
        <w:rPr>
          <w:szCs w:val="23"/>
          <w:lang w:val="en-GB"/>
        </w:rPr>
        <w:t>, 259-269</w:t>
      </w:r>
      <w:r w:rsidRPr="00D427E1">
        <w:rPr>
          <w:bCs/>
          <w:lang w:val="en-GB"/>
        </w:rPr>
        <w:t xml:space="preserve"> </w:t>
      </w:r>
      <w:r>
        <w:rPr>
          <w:bCs/>
          <w:lang w:val="en-GB"/>
        </w:rPr>
        <w:t>(</w:t>
      </w:r>
      <w:r w:rsidRPr="00D427E1">
        <w:rPr>
          <w:bCs/>
          <w:lang w:val="en-GB"/>
        </w:rPr>
        <w:t>1998</w:t>
      </w:r>
      <w:r>
        <w:rPr>
          <w:bCs/>
          <w:lang w:val="en-GB"/>
        </w:rPr>
        <w:t>).</w:t>
      </w:r>
    </w:p>
    <w:p w:rsidR="00025D07" w:rsidRPr="00A746CB" w:rsidRDefault="00025D07" w:rsidP="00025D07">
      <w:pPr>
        <w:pStyle w:val="Testonormale"/>
        <w:spacing w:line="240" w:lineRule="auto"/>
        <w:ind w:hanging="284"/>
        <w:jc w:val="both"/>
        <w:rPr>
          <w:rFonts w:ascii="Times New Roman" w:hAnsi="Times New Roman" w:cs="Times New Roman"/>
          <w:sz w:val="24"/>
          <w:szCs w:val="23"/>
          <w:lang w:val="en-GB"/>
        </w:rPr>
      </w:pPr>
      <w:r w:rsidRPr="00025D07">
        <w:rPr>
          <w:sz w:val="24"/>
          <w:szCs w:val="23"/>
          <w:lang w:val="en-GB"/>
        </w:rPr>
        <w:t>3.</w:t>
      </w:r>
      <w:r w:rsidRPr="00025D07">
        <w:rPr>
          <w:szCs w:val="23"/>
          <w:lang w:val="en-GB"/>
        </w:rPr>
        <w:t xml:space="preserve"> “</w:t>
      </w:r>
      <w:r w:rsidRPr="00025D07">
        <w:rPr>
          <w:rFonts w:ascii="Times New Roman" w:hAnsi="Times New Roman" w:cs="Times New Roman"/>
          <w:sz w:val="24"/>
          <w:szCs w:val="23"/>
          <w:lang w:val="en-GB"/>
        </w:rPr>
        <w:t xml:space="preserve">Martın-Algarra, A., et al.” </w:t>
      </w:r>
      <w:r>
        <w:rPr>
          <w:rFonts w:ascii="Times New Roman" w:hAnsi="Times New Roman" w:cs="Times New Roman"/>
          <w:sz w:val="24"/>
          <w:szCs w:val="23"/>
          <w:lang w:val="en-GB"/>
        </w:rPr>
        <w:t>A lost r</w:t>
      </w:r>
      <w:r w:rsidRPr="00A746CB">
        <w:rPr>
          <w:rFonts w:ascii="Times New Roman" w:hAnsi="Times New Roman" w:cs="Times New Roman"/>
          <w:sz w:val="24"/>
          <w:szCs w:val="23"/>
          <w:lang w:val="en-GB"/>
        </w:rPr>
        <w:t xml:space="preserve">ealm in the </w:t>
      </w:r>
      <w:r>
        <w:rPr>
          <w:rFonts w:ascii="Times New Roman" w:hAnsi="Times New Roman" w:cs="Times New Roman"/>
          <w:sz w:val="24"/>
          <w:szCs w:val="23"/>
          <w:lang w:val="en-GB"/>
        </w:rPr>
        <w:t>internal d</w:t>
      </w:r>
      <w:r w:rsidRPr="00A746CB">
        <w:rPr>
          <w:rFonts w:ascii="Times New Roman" w:hAnsi="Times New Roman" w:cs="Times New Roman"/>
          <w:sz w:val="24"/>
          <w:szCs w:val="23"/>
          <w:lang w:val="en-GB"/>
        </w:rPr>
        <w:t>omains of the Betic-Rif Orogen (Spa</w:t>
      </w:r>
      <w:r>
        <w:rPr>
          <w:rFonts w:ascii="Times New Roman" w:hAnsi="Times New Roman" w:cs="Times New Roman"/>
          <w:sz w:val="24"/>
          <w:szCs w:val="23"/>
          <w:lang w:val="en-GB"/>
        </w:rPr>
        <w:t>in and Morocco): Evidence from conglomerates and c</w:t>
      </w:r>
      <w:r w:rsidRPr="00A746CB">
        <w:rPr>
          <w:rFonts w:ascii="Times New Roman" w:hAnsi="Times New Roman" w:cs="Times New Roman"/>
          <w:sz w:val="24"/>
          <w:szCs w:val="23"/>
          <w:lang w:val="en-GB"/>
        </w:rPr>
        <w:t xml:space="preserve">onsequences </w:t>
      </w:r>
      <w:r>
        <w:rPr>
          <w:rFonts w:ascii="Times New Roman" w:hAnsi="Times New Roman" w:cs="Times New Roman"/>
          <w:sz w:val="24"/>
          <w:szCs w:val="23"/>
          <w:lang w:val="en-GB"/>
        </w:rPr>
        <w:t>for Alpine Geodynamic Evolution.</w:t>
      </w:r>
      <w:r w:rsidRPr="00A746CB">
        <w:rPr>
          <w:rFonts w:ascii="Times New Roman" w:hAnsi="Times New Roman" w:cs="Times New Roman"/>
          <w:sz w:val="24"/>
          <w:szCs w:val="23"/>
          <w:lang w:val="en-GB"/>
        </w:rPr>
        <w:t xml:space="preserve"> </w:t>
      </w:r>
      <w:r w:rsidRPr="006145F4">
        <w:rPr>
          <w:rFonts w:ascii="Times New Roman" w:hAnsi="Times New Roman" w:cs="Times New Roman"/>
          <w:sz w:val="24"/>
          <w:szCs w:val="23"/>
          <w:lang w:val="en-GB"/>
        </w:rPr>
        <w:t>The Journal of Geology</w:t>
      </w:r>
      <w:r w:rsidRPr="00A746CB">
        <w:rPr>
          <w:rFonts w:ascii="Times New Roman" w:hAnsi="Times New Roman" w:cs="Times New Roman"/>
          <w:i/>
          <w:sz w:val="24"/>
          <w:szCs w:val="23"/>
          <w:lang w:val="en-GB"/>
        </w:rPr>
        <w:t xml:space="preserve">, </w:t>
      </w:r>
      <w:r w:rsidRPr="00B91224">
        <w:rPr>
          <w:rFonts w:ascii="Times New Roman" w:hAnsi="Times New Roman" w:cs="Times New Roman"/>
          <w:b/>
          <w:sz w:val="24"/>
          <w:szCs w:val="23"/>
          <w:lang w:val="en-GB"/>
        </w:rPr>
        <w:t>108</w:t>
      </w:r>
      <w:r w:rsidRPr="00A746CB">
        <w:rPr>
          <w:rFonts w:ascii="Times New Roman" w:hAnsi="Times New Roman" w:cs="Times New Roman"/>
          <w:sz w:val="24"/>
          <w:szCs w:val="23"/>
          <w:lang w:val="en-GB"/>
        </w:rPr>
        <w:t>, 447–467</w:t>
      </w:r>
      <w:r>
        <w:rPr>
          <w:rFonts w:ascii="Times New Roman" w:hAnsi="Times New Roman" w:cs="Times New Roman"/>
          <w:sz w:val="24"/>
          <w:szCs w:val="23"/>
          <w:lang w:val="en-GB"/>
        </w:rPr>
        <w:t xml:space="preserve"> </w:t>
      </w:r>
      <w:r w:rsidRPr="00A746CB">
        <w:rPr>
          <w:rFonts w:ascii="Times New Roman" w:hAnsi="Times New Roman" w:cs="Times New Roman"/>
          <w:sz w:val="24"/>
          <w:szCs w:val="23"/>
          <w:lang w:val="en-GB"/>
        </w:rPr>
        <w:t>(2000)</w:t>
      </w:r>
      <w:r>
        <w:rPr>
          <w:rFonts w:ascii="Times New Roman" w:hAnsi="Times New Roman" w:cs="Times New Roman"/>
          <w:sz w:val="24"/>
          <w:szCs w:val="23"/>
          <w:lang w:val="en-GB"/>
        </w:rPr>
        <w:t>.</w:t>
      </w:r>
    </w:p>
    <w:p w:rsidR="00025D07" w:rsidRPr="00A746CB" w:rsidRDefault="00025D07" w:rsidP="00025D07">
      <w:pPr>
        <w:spacing w:line="240" w:lineRule="auto"/>
        <w:ind w:hanging="284"/>
        <w:rPr>
          <w:szCs w:val="23"/>
        </w:rPr>
      </w:pPr>
      <w:r>
        <w:rPr>
          <w:szCs w:val="23"/>
        </w:rPr>
        <w:t xml:space="preserve">4. </w:t>
      </w:r>
      <w:r w:rsidRPr="00A746CB">
        <w:rPr>
          <w:szCs w:val="23"/>
        </w:rPr>
        <w:t>Faccenna</w:t>
      </w:r>
      <w:r>
        <w:rPr>
          <w:szCs w:val="23"/>
        </w:rPr>
        <w:t>,</w:t>
      </w:r>
      <w:r w:rsidRPr="00A746CB">
        <w:rPr>
          <w:szCs w:val="23"/>
        </w:rPr>
        <w:t xml:space="preserve"> C., Piromallo</w:t>
      </w:r>
      <w:r>
        <w:rPr>
          <w:szCs w:val="23"/>
        </w:rPr>
        <w:t>,</w:t>
      </w:r>
      <w:r w:rsidRPr="00A746CB">
        <w:rPr>
          <w:szCs w:val="23"/>
        </w:rPr>
        <w:t xml:space="preserve"> C., Crespo-Blanc</w:t>
      </w:r>
      <w:r>
        <w:rPr>
          <w:szCs w:val="23"/>
        </w:rPr>
        <w:t>,</w:t>
      </w:r>
      <w:r w:rsidRPr="00A746CB">
        <w:rPr>
          <w:szCs w:val="23"/>
        </w:rPr>
        <w:t xml:space="preserve"> A., Jolivet</w:t>
      </w:r>
      <w:r>
        <w:rPr>
          <w:szCs w:val="23"/>
        </w:rPr>
        <w:t>,</w:t>
      </w:r>
      <w:r w:rsidRPr="00A746CB">
        <w:rPr>
          <w:szCs w:val="23"/>
        </w:rPr>
        <w:t xml:space="preserve"> L. </w:t>
      </w:r>
      <w:r>
        <w:rPr>
          <w:szCs w:val="23"/>
        </w:rPr>
        <w:t>&amp;</w:t>
      </w:r>
      <w:r w:rsidRPr="00A746CB">
        <w:rPr>
          <w:szCs w:val="23"/>
        </w:rPr>
        <w:t xml:space="preserve"> Rossetti</w:t>
      </w:r>
      <w:r>
        <w:rPr>
          <w:szCs w:val="23"/>
        </w:rPr>
        <w:t>,</w:t>
      </w:r>
      <w:r w:rsidRPr="00A746CB">
        <w:rPr>
          <w:szCs w:val="23"/>
        </w:rPr>
        <w:t xml:space="preserve"> </w:t>
      </w:r>
      <w:r>
        <w:rPr>
          <w:szCs w:val="23"/>
        </w:rPr>
        <w:t xml:space="preserve">F. </w:t>
      </w:r>
      <w:r w:rsidRPr="00A746CB">
        <w:rPr>
          <w:szCs w:val="23"/>
        </w:rPr>
        <w:t>Lateral slab deformation and the origin of the western Mediterranean arcs</w:t>
      </w:r>
      <w:r>
        <w:rPr>
          <w:szCs w:val="23"/>
        </w:rPr>
        <w:t>.</w:t>
      </w:r>
      <w:r w:rsidRPr="00A746CB">
        <w:rPr>
          <w:szCs w:val="23"/>
        </w:rPr>
        <w:t xml:space="preserve"> </w:t>
      </w:r>
      <w:r w:rsidRPr="006145F4">
        <w:rPr>
          <w:szCs w:val="23"/>
        </w:rPr>
        <w:t>Tectonics</w:t>
      </w:r>
      <w:r w:rsidRPr="00A746CB">
        <w:rPr>
          <w:i/>
          <w:szCs w:val="23"/>
        </w:rPr>
        <w:t xml:space="preserve">, </w:t>
      </w:r>
      <w:r w:rsidRPr="00610089">
        <w:rPr>
          <w:b/>
          <w:szCs w:val="23"/>
        </w:rPr>
        <w:t>23</w:t>
      </w:r>
      <w:r w:rsidRPr="00A746CB">
        <w:rPr>
          <w:szCs w:val="23"/>
        </w:rPr>
        <w:t>, 21 pages</w:t>
      </w:r>
      <w:r>
        <w:rPr>
          <w:szCs w:val="23"/>
        </w:rPr>
        <w:t xml:space="preserve"> </w:t>
      </w:r>
      <w:r w:rsidRPr="00A746CB">
        <w:rPr>
          <w:szCs w:val="23"/>
        </w:rPr>
        <w:t xml:space="preserve">(2004), TC1012, doi:10.1029/2002TC001488. </w:t>
      </w:r>
    </w:p>
    <w:p w:rsidR="00025D07" w:rsidRPr="00817EA3" w:rsidRDefault="00025D07" w:rsidP="00025D07">
      <w:pPr>
        <w:pStyle w:val="Testonormale"/>
        <w:spacing w:line="240" w:lineRule="auto"/>
        <w:ind w:hanging="284"/>
        <w:jc w:val="both"/>
        <w:rPr>
          <w:rFonts w:ascii="Times New Roman" w:hAnsi="Times New Roman" w:cs="Times New Roman"/>
          <w:sz w:val="23"/>
          <w:szCs w:val="23"/>
          <w:lang w:val="en-GB"/>
        </w:rPr>
      </w:pPr>
      <w:r>
        <w:rPr>
          <w:rFonts w:ascii="Times New Roman" w:hAnsi="Times New Roman" w:cs="Times New Roman"/>
          <w:sz w:val="23"/>
          <w:szCs w:val="23"/>
          <w:lang w:val="en-GB"/>
        </w:rPr>
        <w:t>5. “</w:t>
      </w:r>
      <w:r w:rsidRPr="00817EA3">
        <w:rPr>
          <w:rFonts w:ascii="Times New Roman" w:hAnsi="Times New Roman" w:cs="Times New Roman"/>
          <w:sz w:val="23"/>
          <w:szCs w:val="23"/>
          <w:lang w:val="en-GB"/>
        </w:rPr>
        <w:t>Sartori</w:t>
      </w:r>
      <w:r>
        <w:rPr>
          <w:rFonts w:ascii="Times New Roman" w:hAnsi="Times New Roman" w:cs="Times New Roman"/>
          <w:sz w:val="23"/>
          <w:szCs w:val="23"/>
          <w:lang w:val="en-GB"/>
        </w:rPr>
        <w:t>,</w:t>
      </w:r>
      <w:r w:rsidRPr="00817EA3">
        <w:rPr>
          <w:rFonts w:ascii="Times New Roman" w:hAnsi="Times New Roman" w:cs="Times New Roman"/>
          <w:sz w:val="23"/>
          <w:szCs w:val="23"/>
          <w:lang w:val="en-GB"/>
        </w:rPr>
        <w:t xml:space="preserve"> R., </w:t>
      </w:r>
      <w:r>
        <w:rPr>
          <w:rFonts w:ascii="Times New Roman" w:hAnsi="Times New Roman" w:cs="Times New Roman"/>
          <w:sz w:val="23"/>
          <w:szCs w:val="23"/>
          <w:lang w:val="en-GB"/>
        </w:rPr>
        <w:t xml:space="preserve">et al.” </w:t>
      </w:r>
      <w:r w:rsidRPr="00817EA3">
        <w:rPr>
          <w:rFonts w:ascii="Times New Roman" w:hAnsi="Times New Roman" w:cs="Times New Roman"/>
          <w:sz w:val="23"/>
          <w:szCs w:val="23"/>
          <w:lang w:val="en-GB"/>
        </w:rPr>
        <w:t xml:space="preserve">Crustal features along a W–E Tyrrhenian transect from Sardinia to Campania margins (Central Mediterranean). </w:t>
      </w:r>
      <w:r w:rsidRPr="006145F4">
        <w:rPr>
          <w:rFonts w:ascii="Times New Roman" w:hAnsi="Times New Roman" w:cs="Times New Roman"/>
          <w:iCs/>
          <w:sz w:val="23"/>
          <w:szCs w:val="23"/>
          <w:lang w:val="en-GB"/>
        </w:rPr>
        <w:t>Tectonophysics</w:t>
      </w:r>
      <w:r w:rsidRPr="00817EA3">
        <w:rPr>
          <w:rFonts w:ascii="Times New Roman" w:hAnsi="Times New Roman" w:cs="Times New Roman"/>
          <w:i/>
          <w:iCs/>
          <w:sz w:val="23"/>
          <w:szCs w:val="23"/>
          <w:lang w:val="en-GB"/>
        </w:rPr>
        <w:t>,</w:t>
      </w:r>
      <w:r w:rsidRPr="00817EA3">
        <w:rPr>
          <w:rFonts w:ascii="Times New Roman" w:hAnsi="Times New Roman" w:cs="Times New Roman"/>
          <w:i/>
          <w:sz w:val="23"/>
          <w:szCs w:val="23"/>
          <w:lang w:val="en-GB"/>
        </w:rPr>
        <w:t xml:space="preserve"> </w:t>
      </w:r>
      <w:r w:rsidRPr="00631588">
        <w:rPr>
          <w:rFonts w:ascii="Times New Roman" w:hAnsi="Times New Roman" w:cs="Times New Roman"/>
          <w:b/>
          <w:bCs/>
          <w:sz w:val="23"/>
          <w:szCs w:val="23"/>
          <w:lang w:val="en-GB"/>
        </w:rPr>
        <w:t>383</w:t>
      </w:r>
      <w:r w:rsidRPr="00817EA3">
        <w:rPr>
          <w:rFonts w:ascii="Times New Roman" w:hAnsi="Times New Roman" w:cs="Times New Roman"/>
          <w:bCs/>
          <w:sz w:val="23"/>
          <w:szCs w:val="23"/>
          <w:lang w:val="en-GB"/>
        </w:rPr>
        <w:t>,</w:t>
      </w:r>
      <w:r w:rsidRPr="00817EA3">
        <w:rPr>
          <w:rFonts w:ascii="Times New Roman" w:hAnsi="Times New Roman" w:cs="Times New Roman"/>
          <w:sz w:val="23"/>
          <w:szCs w:val="23"/>
          <w:lang w:val="en-GB"/>
        </w:rPr>
        <w:t xml:space="preserve"> 171– 192</w:t>
      </w:r>
      <w:r w:rsidRPr="00631588">
        <w:rPr>
          <w:rFonts w:ascii="Times New Roman" w:hAnsi="Times New Roman" w:cs="Times New Roman"/>
          <w:sz w:val="23"/>
          <w:szCs w:val="23"/>
          <w:lang w:val="en-GB"/>
        </w:rPr>
        <w:t xml:space="preserve"> </w:t>
      </w:r>
      <w:r w:rsidRPr="00817EA3">
        <w:rPr>
          <w:rFonts w:ascii="Times New Roman" w:hAnsi="Times New Roman" w:cs="Times New Roman"/>
          <w:sz w:val="23"/>
          <w:szCs w:val="23"/>
          <w:lang w:val="en-GB"/>
        </w:rPr>
        <w:t>(2004)</w:t>
      </w:r>
      <w:r>
        <w:rPr>
          <w:rFonts w:ascii="Times New Roman" w:hAnsi="Times New Roman" w:cs="Times New Roman"/>
          <w:sz w:val="23"/>
          <w:szCs w:val="23"/>
          <w:lang w:val="en-GB"/>
        </w:rPr>
        <w:t>.</w:t>
      </w:r>
    </w:p>
    <w:p w:rsidR="00025D07" w:rsidRPr="00A746CB" w:rsidRDefault="00025D07" w:rsidP="00025D07">
      <w:pPr>
        <w:pStyle w:val="Testonormale"/>
        <w:spacing w:line="240" w:lineRule="auto"/>
        <w:ind w:hanging="284"/>
        <w:jc w:val="both"/>
        <w:rPr>
          <w:rFonts w:ascii="Times New Roman" w:hAnsi="Times New Roman" w:cs="Times New Roman"/>
          <w:sz w:val="24"/>
          <w:szCs w:val="23"/>
          <w:lang w:val="en-GB"/>
        </w:rPr>
      </w:pPr>
      <w:r>
        <w:rPr>
          <w:rFonts w:ascii="Times New Roman" w:hAnsi="Times New Roman" w:cs="Times New Roman"/>
          <w:color w:val="000000"/>
          <w:sz w:val="24"/>
          <w:szCs w:val="23"/>
          <w:lang w:val="en-GB"/>
        </w:rPr>
        <w:lastRenderedPageBreak/>
        <w:t xml:space="preserve">6. </w:t>
      </w:r>
      <w:r w:rsidRPr="00A746CB">
        <w:rPr>
          <w:rFonts w:ascii="Times New Roman" w:hAnsi="Times New Roman" w:cs="Times New Roman"/>
          <w:sz w:val="24"/>
          <w:szCs w:val="23"/>
          <w:lang w:val="en-GB"/>
        </w:rPr>
        <w:t>Savelli</w:t>
      </w:r>
      <w:r>
        <w:rPr>
          <w:rFonts w:ascii="Times New Roman" w:hAnsi="Times New Roman" w:cs="Times New Roman"/>
          <w:sz w:val="24"/>
          <w:szCs w:val="23"/>
          <w:lang w:val="en-GB"/>
        </w:rPr>
        <w:t>,</w:t>
      </w:r>
      <w:r w:rsidRPr="00A746CB">
        <w:rPr>
          <w:rFonts w:ascii="Times New Roman" w:hAnsi="Times New Roman" w:cs="Times New Roman"/>
          <w:sz w:val="24"/>
          <w:szCs w:val="23"/>
          <w:lang w:val="en-GB"/>
        </w:rPr>
        <w:t xml:space="preserve"> C., Guerrera</w:t>
      </w:r>
      <w:r>
        <w:rPr>
          <w:rFonts w:ascii="Times New Roman" w:hAnsi="Times New Roman" w:cs="Times New Roman"/>
          <w:sz w:val="24"/>
          <w:szCs w:val="23"/>
          <w:lang w:val="en-GB"/>
        </w:rPr>
        <w:t>,</w:t>
      </w:r>
      <w:r w:rsidRPr="00A746CB">
        <w:rPr>
          <w:rFonts w:ascii="Times New Roman" w:hAnsi="Times New Roman" w:cs="Times New Roman"/>
          <w:sz w:val="24"/>
          <w:szCs w:val="23"/>
          <w:lang w:val="en-GB"/>
        </w:rPr>
        <w:t xml:space="preserve"> F. </w:t>
      </w:r>
      <w:r>
        <w:rPr>
          <w:rFonts w:ascii="Times New Roman" w:hAnsi="Times New Roman" w:cs="Times New Roman"/>
          <w:sz w:val="24"/>
          <w:szCs w:val="23"/>
          <w:lang w:val="en-GB"/>
        </w:rPr>
        <w:t>&amp;</w:t>
      </w:r>
      <w:r w:rsidRPr="00A746CB">
        <w:rPr>
          <w:rFonts w:ascii="Times New Roman" w:hAnsi="Times New Roman" w:cs="Times New Roman"/>
          <w:sz w:val="24"/>
          <w:szCs w:val="23"/>
          <w:lang w:val="en-GB"/>
        </w:rPr>
        <w:t xml:space="preserve"> Gueguen</w:t>
      </w:r>
      <w:r>
        <w:rPr>
          <w:rFonts w:ascii="Times New Roman" w:hAnsi="Times New Roman" w:cs="Times New Roman"/>
          <w:sz w:val="24"/>
          <w:szCs w:val="23"/>
          <w:lang w:val="en-GB"/>
        </w:rPr>
        <w:t>,</w:t>
      </w:r>
      <w:r w:rsidRPr="00A746CB">
        <w:rPr>
          <w:rFonts w:ascii="Times New Roman" w:hAnsi="Times New Roman" w:cs="Times New Roman"/>
          <w:sz w:val="24"/>
          <w:szCs w:val="23"/>
          <w:lang w:val="en-GB"/>
        </w:rPr>
        <w:t xml:space="preserve"> </w:t>
      </w:r>
      <w:r>
        <w:rPr>
          <w:rFonts w:ascii="Times New Roman" w:hAnsi="Times New Roman" w:cs="Times New Roman"/>
          <w:sz w:val="24"/>
          <w:szCs w:val="23"/>
          <w:lang w:val="en-GB"/>
        </w:rPr>
        <w:t xml:space="preserve">E. </w:t>
      </w:r>
      <w:r w:rsidRPr="00A746CB">
        <w:rPr>
          <w:rFonts w:ascii="Times New Roman" w:hAnsi="Times New Roman" w:cs="Times New Roman"/>
          <w:sz w:val="24"/>
          <w:szCs w:val="23"/>
          <w:lang w:val="en-GB"/>
        </w:rPr>
        <w:t xml:space="preserve">Western Mediterranean geodynamics: a look for the period of westward subduction initiation. </w:t>
      </w:r>
      <w:r w:rsidRPr="00A746CB">
        <w:rPr>
          <w:rFonts w:ascii="Times New Roman" w:hAnsi="Times New Roman" w:cs="Times New Roman"/>
          <w:i/>
          <w:sz w:val="24"/>
          <w:szCs w:val="23"/>
          <w:lang w:val="en-GB"/>
        </w:rPr>
        <w:t>6° Forum of Earth Sciences (Geoitalia 2007), Rimini 12 -14 september 2007</w:t>
      </w:r>
      <w:r w:rsidRPr="00A746CB">
        <w:rPr>
          <w:rFonts w:ascii="Times New Roman" w:hAnsi="Times New Roman" w:cs="Times New Roman"/>
          <w:sz w:val="24"/>
          <w:szCs w:val="23"/>
          <w:lang w:val="en-GB"/>
        </w:rPr>
        <w:t>, (Epitome, Abstract n. 02.0485, p.141</w:t>
      </w:r>
      <w:r>
        <w:rPr>
          <w:rFonts w:ascii="Times New Roman" w:hAnsi="Times New Roman" w:cs="Times New Roman"/>
          <w:sz w:val="24"/>
          <w:szCs w:val="23"/>
          <w:lang w:val="en-GB"/>
        </w:rPr>
        <w:t xml:space="preserve"> (2007).</w:t>
      </w:r>
    </w:p>
    <w:p w:rsidR="00025D07" w:rsidRPr="00A746CB" w:rsidRDefault="00025D07" w:rsidP="00025D07">
      <w:pPr>
        <w:pStyle w:val="Testonormale"/>
        <w:spacing w:line="240" w:lineRule="auto"/>
        <w:ind w:hanging="284"/>
        <w:jc w:val="both"/>
        <w:rPr>
          <w:rFonts w:ascii="Times New Roman" w:hAnsi="Times New Roman" w:cs="Times New Roman"/>
          <w:color w:val="000000"/>
          <w:sz w:val="24"/>
          <w:szCs w:val="23"/>
          <w:lang w:val="en-GB"/>
        </w:rPr>
      </w:pPr>
      <w:r>
        <w:rPr>
          <w:rFonts w:ascii="Times New Roman" w:hAnsi="Times New Roman" w:cs="Times New Roman"/>
          <w:color w:val="000000"/>
          <w:sz w:val="24"/>
          <w:szCs w:val="23"/>
          <w:lang w:val="en-GB"/>
        </w:rPr>
        <w:t xml:space="preserve">7. </w:t>
      </w:r>
      <w:r w:rsidRPr="00A746CB">
        <w:rPr>
          <w:rFonts w:ascii="Times New Roman" w:hAnsi="Times New Roman" w:cs="Times New Roman"/>
          <w:color w:val="000000"/>
          <w:sz w:val="24"/>
          <w:szCs w:val="23"/>
          <w:lang w:val="en-GB"/>
        </w:rPr>
        <w:t>Spakman</w:t>
      </w:r>
      <w:r>
        <w:rPr>
          <w:rFonts w:ascii="Times New Roman" w:hAnsi="Times New Roman" w:cs="Times New Roman"/>
          <w:color w:val="000000"/>
          <w:sz w:val="24"/>
          <w:szCs w:val="23"/>
          <w:lang w:val="en-GB"/>
        </w:rPr>
        <w:t>,</w:t>
      </w:r>
      <w:r w:rsidRPr="00A746CB">
        <w:rPr>
          <w:rFonts w:ascii="Times New Roman" w:hAnsi="Times New Roman" w:cs="Times New Roman"/>
          <w:color w:val="000000"/>
          <w:sz w:val="24"/>
          <w:szCs w:val="23"/>
          <w:lang w:val="en-GB"/>
        </w:rPr>
        <w:t xml:space="preserve"> W. </w:t>
      </w:r>
      <w:r>
        <w:rPr>
          <w:rFonts w:ascii="Times New Roman" w:hAnsi="Times New Roman" w:cs="Times New Roman"/>
          <w:color w:val="000000"/>
          <w:sz w:val="24"/>
          <w:szCs w:val="23"/>
          <w:lang w:val="en-GB"/>
        </w:rPr>
        <w:t>&amp;</w:t>
      </w:r>
      <w:r w:rsidRPr="00A746CB">
        <w:rPr>
          <w:rFonts w:ascii="Times New Roman" w:hAnsi="Times New Roman" w:cs="Times New Roman"/>
          <w:color w:val="000000"/>
          <w:sz w:val="24"/>
          <w:szCs w:val="23"/>
          <w:lang w:val="en-GB"/>
        </w:rPr>
        <w:t xml:space="preserve"> Wortel</w:t>
      </w:r>
      <w:r>
        <w:rPr>
          <w:rFonts w:ascii="Times New Roman" w:hAnsi="Times New Roman" w:cs="Times New Roman"/>
          <w:color w:val="000000"/>
          <w:sz w:val="24"/>
          <w:szCs w:val="23"/>
          <w:lang w:val="en-GB"/>
        </w:rPr>
        <w:t>,</w:t>
      </w:r>
      <w:r w:rsidRPr="00A746CB">
        <w:rPr>
          <w:rFonts w:ascii="Times New Roman" w:hAnsi="Times New Roman" w:cs="Times New Roman"/>
          <w:color w:val="000000"/>
          <w:sz w:val="24"/>
          <w:szCs w:val="23"/>
          <w:lang w:val="en-GB"/>
        </w:rPr>
        <w:t xml:space="preserve"> M.J.R. A tomographic view on western Mediterranean Geodynamics, in: W. Cavazza, F.M. Roure, W. Spakman, G.M. Stampfli, P.A. Ziegler (Eds.), </w:t>
      </w:r>
      <w:r w:rsidRPr="006145F4">
        <w:rPr>
          <w:rFonts w:ascii="Times New Roman" w:hAnsi="Times New Roman" w:cs="Times New Roman"/>
          <w:color w:val="000000"/>
          <w:sz w:val="24"/>
          <w:szCs w:val="23"/>
          <w:lang w:val="en-GB"/>
        </w:rPr>
        <w:t>The Transmed Atlas – The Mediterranean Region from Crust to Mantle,</w:t>
      </w:r>
      <w:r w:rsidRPr="00A746CB">
        <w:rPr>
          <w:rFonts w:ascii="Times New Roman" w:hAnsi="Times New Roman" w:cs="Times New Roman"/>
          <w:color w:val="000000"/>
          <w:sz w:val="24"/>
          <w:szCs w:val="23"/>
          <w:lang w:val="en-GB"/>
        </w:rPr>
        <w:t xml:space="preserve"> Springer, Berlin, pp. 31–52</w:t>
      </w:r>
      <w:r>
        <w:rPr>
          <w:rFonts w:ascii="Times New Roman" w:hAnsi="Times New Roman" w:cs="Times New Roman"/>
          <w:color w:val="000000"/>
          <w:sz w:val="24"/>
          <w:szCs w:val="23"/>
          <w:lang w:val="en-GB"/>
        </w:rPr>
        <w:t xml:space="preserve"> (2004)</w:t>
      </w:r>
      <w:r w:rsidRPr="00A746CB">
        <w:rPr>
          <w:rFonts w:ascii="Times New Roman" w:hAnsi="Times New Roman" w:cs="Times New Roman"/>
          <w:color w:val="000000"/>
          <w:sz w:val="24"/>
          <w:szCs w:val="23"/>
          <w:lang w:val="en-GB"/>
        </w:rPr>
        <w:t xml:space="preserve">. </w:t>
      </w:r>
    </w:p>
    <w:p w:rsidR="00025D07" w:rsidRPr="00A746CB" w:rsidRDefault="00025D07" w:rsidP="00025D07">
      <w:pPr>
        <w:pStyle w:val="Testonormale"/>
        <w:spacing w:line="240" w:lineRule="auto"/>
        <w:ind w:hanging="284"/>
        <w:jc w:val="both"/>
        <w:rPr>
          <w:rFonts w:ascii="Times New Roman" w:hAnsi="Times New Roman" w:cs="Times New Roman"/>
          <w:sz w:val="24"/>
          <w:szCs w:val="23"/>
          <w:lang w:val="en-GB"/>
        </w:rPr>
      </w:pPr>
      <w:r>
        <w:rPr>
          <w:rFonts w:ascii="Times New Roman" w:hAnsi="Times New Roman" w:cs="Times New Roman"/>
          <w:sz w:val="24"/>
          <w:szCs w:val="23"/>
          <w:lang w:val="en-GB"/>
        </w:rPr>
        <w:t xml:space="preserve">8. </w:t>
      </w:r>
      <w:r w:rsidRPr="00A746CB">
        <w:rPr>
          <w:rFonts w:ascii="Times New Roman" w:hAnsi="Times New Roman" w:cs="Times New Roman"/>
          <w:sz w:val="24"/>
          <w:szCs w:val="23"/>
          <w:lang w:val="en-GB"/>
        </w:rPr>
        <w:t>Dekov</w:t>
      </w:r>
      <w:r>
        <w:rPr>
          <w:rFonts w:ascii="Times New Roman" w:hAnsi="Times New Roman" w:cs="Times New Roman"/>
          <w:sz w:val="24"/>
          <w:szCs w:val="23"/>
          <w:lang w:val="en-GB"/>
        </w:rPr>
        <w:t>,</w:t>
      </w:r>
      <w:r w:rsidRPr="00A746CB">
        <w:rPr>
          <w:rFonts w:ascii="Times New Roman" w:hAnsi="Times New Roman" w:cs="Times New Roman"/>
          <w:sz w:val="24"/>
          <w:szCs w:val="23"/>
          <w:lang w:val="en-GB"/>
        </w:rPr>
        <w:t xml:space="preserve"> V.M., </w:t>
      </w:r>
      <w:r>
        <w:rPr>
          <w:rFonts w:ascii="Times New Roman" w:hAnsi="Times New Roman" w:cs="Times New Roman"/>
          <w:sz w:val="24"/>
          <w:szCs w:val="23"/>
          <w:lang w:val="en-GB"/>
        </w:rPr>
        <w:t>&amp;</w:t>
      </w:r>
      <w:r w:rsidRPr="00A746CB">
        <w:rPr>
          <w:rFonts w:ascii="Times New Roman" w:hAnsi="Times New Roman" w:cs="Times New Roman"/>
          <w:sz w:val="24"/>
          <w:szCs w:val="23"/>
          <w:lang w:val="en-GB"/>
        </w:rPr>
        <w:t xml:space="preserve"> Savelli </w:t>
      </w:r>
      <w:r>
        <w:rPr>
          <w:rFonts w:ascii="Times New Roman" w:hAnsi="Times New Roman" w:cs="Times New Roman"/>
          <w:sz w:val="24"/>
          <w:szCs w:val="23"/>
          <w:lang w:val="en-GB"/>
        </w:rPr>
        <w:t>C.</w:t>
      </w:r>
      <w:r w:rsidRPr="00A746CB">
        <w:rPr>
          <w:rFonts w:ascii="Times New Roman" w:hAnsi="Times New Roman" w:cs="Times New Roman"/>
          <w:sz w:val="24"/>
          <w:szCs w:val="23"/>
          <w:lang w:val="en-GB"/>
        </w:rPr>
        <w:t xml:space="preserve"> Hydrothermal activity in the SE Tyrrhenian Sea; an overview of 30 years of research. </w:t>
      </w:r>
      <w:r w:rsidRPr="006145F4">
        <w:rPr>
          <w:rFonts w:ascii="Times New Roman" w:hAnsi="Times New Roman" w:cs="Times New Roman"/>
          <w:sz w:val="24"/>
          <w:szCs w:val="23"/>
          <w:lang w:val="en-GB"/>
        </w:rPr>
        <w:t>Marine Geology,</w:t>
      </w:r>
      <w:r w:rsidRPr="00A746CB">
        <w:rPr>
          <w:rFonts w:ascii="Times New Roman" w:hAnsi="Times New Roman" w:cs="Times New Roman"/>
          <w:i/>
          <w:sz w:val="24"/>
          <w:szCs w:val="23"/>
          <w:lang w:val="en-GB"/>
        </w:rPr>
        <w:t xml:space="preserve"> </w:t>
      </w:r>
      <w:r w:rsidRPr="003453E4">
        <w:rPr>
          <w:rFonts w:ascii="Times New Roman" w:hAnsi="Times New Roman" w:cs="Times New Roman"/>
          <w:b/>
          <w:sz w:val="24"/>
          <w:szCs w:val="23"/>
          <w:lang w:val="en-GB"/>
        </w:rPr>
        <w:t>204/1-2</w:t>
      </w:r>
      <w:r w:rsidRPr="00A746CB">
        <w:rPr>
          <w:rFonts w:ascii="Times New Roman" w:hAnsi="Times New Roman" w:cs="Times New Roman"/>
          <w:sz w:val="24"/>
          <w:szCs w:val="23"/>
          <w:lang w:val="en-GB"/>
        </w:rPr>
        <w:t>, 161-185</w:t>
      </w:r>
      <w:r>
        <w:rPr>
          <w:rFonts w:ascii="Times New Roman" w:hAnsi="Times New Roman" w:cs="Times New Roman"/>
          <w:sz w:val="24"/>
          <w:szCs w:val="23"/>
          <w:lang w:val="en-GB"/>
        </w:rPr>
        <w:t xml:space="preserve"> </w:t>
      </w:r>
      <w:r w:rsidRPr="00A746CB">
        <w:rPr>
          <w:rFonts w:ascii="Times New Roman" w:hAnsi="Times New Roman" w:cs="Times New Roman"/>
          <w:sz w:val="24"/>
          <w:szCs w:val="23"/>
          <w:lang w:val="en-GB"/>
        </w:rPr>
        <w:t>(2004).</w:t>
      </w:r>
    </w:p>
    <w:p w:rsidR="00025D07" w:rsidRPr="00A746CB" w:rsidRDefault="00025D07" w:rsidP="00025D07">
      <w:pPr>
        <w:pStyle w:val="Testonormale"/>
        <w:spacing w:line="240" w:lineRule="auto"/>
        <w:ind w:hanging="284"/>
        <w:jc w:val="both"/>
        <w:rPr>
          <w:rFonts w:ascii="Times New Roman" w:hAnsi="Times New Roman" w:cs="Times New Roman"/>
          <w:sz w:val="24"/>
          <w:szCs w:val="23"/>
          <w:lang w:val="en-GB"/>
        </w:rPr>
      </w:pPr>
      <w:r>
        <w:rPr>
          <w:rFonts w:ascii="Times New Roman" w:hAnsi="Times New Roman" w:cs="Times New Roman"/>
          <w:sz w:val="24"/>
          <w:szCs w:val="23"/>
          <w:lang w:val="en-GB"/>
        </w:rPr>
        <w:t xml:space="preserve">9. </w:t>
      </w:r>
      <w:r w:rsidRPr="00A746CB">
        <w:rPr>
          <w:rFonts w:ascii="Times New Roman" w:hAnsi="Times New Roman" w:cs="Times New Roman"/>
          <w:sz w:val="24"/>
          <w:szCs w:val="23"/>
          <w:lang w:val="en-GB"/>
        </w:rPr>
        <w:t xml:space="preserve">Martin, A. K. Oppositely directed pairs of propagating rifts in back-arc basins: Double saloon door seafloor spreading during subduction rollback, </w:t>
      </w:r>
      <w:r w:rsidRPr="00A746CB">
        <w:rPr>
          <w:rFonts w:ascii="Times New Roman" w:hAnsi="Times New Roman" w:cs="Times New Roman"/>
          <w:i/>
          <w:sz w:val="24"/>
          <w:szCs w:val="23"/>
          <w:lang w:val="en-GB"/>
        </w:rPr>
        <w:t xml:space="preserve">Tectonics, </w:t>
      </w:r>
      <w:r w:rsidRPr="003453E4">
        <w:rPr>
          <w:rFonts w:ascii="Times New Roman" w:hAnsi="Times New Roman" w:cs="Times New Roman"/>
          <w:b/>
          <w:sz w:val="24"/>
          <w:szCs w:val="23"/>
          <w:lang w:val="en-GB"/>
        </w:rPr>
        <w:t>25</w:t>
      </w:r>
      <w:r w:rsidRPr="00A746CB">
        <w:rPr>
          <w:rFonts w:ascii="Times New Roman" w:hAnsi="Times New Roman" w:cs="Times New Roman"/>
          <w:sz w:val="24"/>
          <w:szCs w:val="23"/>
          <w:lang w:val="en-GB"/>
        </w:rPr>
        <w:t>, TC3008, (2006)</w:t>
      </w:r>
      <w:r>
        <w:rPr>
          <w:rFonts w:ascii="Times New Roman" w:hAnsi="Times New Roman" w:cs="Times New Roman"/>
          <w:sz w:val="24"/>
          <w:szCs w:val="23"/>
          <w:lang w:val="en-GB"/>
        </w:rPr>
        <w:t>;</w:t>
      </w:r>
      <w:r w:rsidRPr="00A746CB">
        <w:rPr>
          <w:rFonts w:ascii="Times New Roman" w:hAnsi="Times New Roman" w:cs="Times New Roman"/>
          <w:sz w:val="24"/>
          <w:szCs w:val="23"/>
          <w:lang w:val="en-GB"/>
        </w:rPr>
        <w:t xml:space="preserve"> doi:10.1029/2005TC001885. </w:t>
      </w:r>
    </w:p>
    <w:p w:rsidR="00025D07" w:rsidRPr="00A746CB" w:rsidRDefault="00025D07" w:rsidP="00025D07">
      <w:pPr>
        <w:pStyle w:val="Testonormale"/>
        <w:spacing w:line="240" w:lineRule="auto"/>
        <w:ind w:hanging="284"/>
        <w:jc w:val="both"/>
        <w:rPr>
          <w:rFonts w:ascii="Times New Roman" w:hAnsi="Times New Roman" w:cs="Times New Roman"/>
          <w:sz w:val="24"/>
          <w:szCs w:val="23"/>
          <w:lang w:val="en-GB"/>
        </w:rPr>
      </w:pPr>
      <w:r>
        <w:rPr>
          <w:rFonts w:ascii="Times New Roman" w:hAnsi="Times New Roman" w:cs="Times New Roman"/>
          <w:sz w:val="24"/>
          <w:szCs w:val="23"/>
          <w:lang w:val="en-GB"/>
        </w:rPr>
        <w:t xml:space="preserve">10. </w:t>
      </w:r>
      <w:r w:rsidRPr="00A746CB">
        <w:rPr>
          <w:rFonts w:ascii="Times New Roman" w:hAnsi="Times New Roman" w:cs="Times New Roman"/>
          <w:sz w:val="24"/>
          <w:szCs w:val="23"/>
          <w:lang w:val="en-GB"/>
        </w:rPr>
        <w:t xml:space="preserve">Rehault J.P., Boillot G. </w:t>
      </w:r>
      <w:r>
        <w:rPr>
          <w:rFonts w:ascii="Times New Roman" w:hAnsi="Times New Roman" w:cs="Times New Roman"/>
          <w:sz w:val="24"/>
          <w:szCs w:val="23"/>
          <w:lang w:val="en-GB"/>
        </w:rPr>
        <w:t>&amp;</w:t>
      </w:r>
      <w:r w:rsidRPr="00A746CB">
        <w:rPr>
          <w:rFonts w:ascii="Times New Roman" w:hAnsi="Times New Roman" w:cs="Times New Roman"/>
          <w:sz w:val="24"/>
          <w:szCs w:val="23"/>
          <w:lang w:val="en-GB"/>
        </w:rPr>
        <w:t xml:space="preserve"> Mauffret A. The western Mediterranean basin geological evolution, </w:t>
      </w:r>
      <w:r w:rsidRPr="00A746CB">
        <w:rPr>
          <w:rFonts w:ascii="Times New Roman" w:hAnsi="Times New Roman" w:cs="Times New Roman"/>
          <w:i/>
          <w:iCs/>
          <w:sz w:val="24"/>
          <w:szCs w:val="23"/>
          <w:lang w:val="en-GB"/>
        </w:rPr>
        <w:t>Marine Geology</w:t>
      </w:r>
      <w:r w:rsidRPr="00A746CB">
        <w:rPr>
          <w:rFonts w:ascii="Times New Roman" w:hAnsi="Times New Roman" w:cs="Times New Roman"/>
          <w:i/>
          <w:sz w:val="24"/>
          <w:szCs w:val="23"/>
          <w:lang w:val="en-GB"/>
        </w:rPr>
        <w:t xml:space="preserve">, </w:t>
      </w:r>
      <w:r w:rsidRPr="001976DC">
        <w:rPr>
          <w:rFonts w:ascii="Times New Roman" w:hAnsi="Times New Roman" w:cs="Times New Roman"/>
          <w:b/>
          <w:bCs/>
          <w:sz w:val="24"/>
          <w:szCs w:val="23"/>
          <w:lang w:val="en-GB"/>
        </w:rPr>
        <w:t>55</w:t>
      </w:r>
      <w:r w:rsidRPr="00A746CB">
        <w:rPr>
          <w:rFonts w:ascii="Times New Roman" w:hAnsi="Times New Roman" w:cs="Times New Roman"/>
          <w:bCs/>
          <w:sz w:val="24"/>
          <w:szCs w:val="23"/>
          <w:lang w:val="en-GB"/>
        </w:rPr>
        <w:t>,</w:t>
      </w:r>
      <w:r w:rsidRPr="00A746CB">
        <w:rPr>
          <w:rFonts w:ascii="Times New Roman" w:hAnsi="Times New Roman" w:cs="Times New Roman"/>
          <w:sz w:val="24"/>
          <w:szCs w:val="23"/>
          <w:lang w:val="en-GB"/>
        </w:rPr>
        <w:t xml:space="preserve"> 447-477. </w:t>
      </w:r>
      <w:r>
        <w:rPr>
          <w:rFonts w:ascii="Times New Roman" w:hAnsi="Times New Roman" w:cs="Times New Roman"/>
          <w:sz w:val="24"/>
          <w:szCs w:val="23"/>
          <w:lang w:val="en-GB"/>
        </w:rPr>
        <w:t>(1984).</w:t>
      </w:r>
    </w:p>
    <w:p w:rsidR="00025D07" w:rsidRPr="00B8056A" w:rsidRDefault="00025D07" w:rsidP="00025D07">
      <w:pPr>
        <w:pStyle w:val="Testonormale"/>
        <w:spacing w:line="240" w:lineRule="auto"/>
        <w:ind w:hanging="284"/>
        <w:jc w:val="both"/>
        <w:rPr>
          <w:rFonts w:ascii="Times New Roman" w:hAnsi="Times New Roman" w:cs="Times New Roman"/>
          <w:sz w:val="23"/>
          <w:szCs w:val="23"/>
          <w:lang w:val="en-GB"/>
        </w:rPr>
      </w:pPr>
      <w:r>
        <w:rPr>
          <w:rFonts w:ascii="Times New Roman" w:hAnsi="Times New Roman" w:cs="Times New Roman"/>
          <w:sz w:val="23"/>
          <w:szCs w:val="23"/>
          <w:lang w:val="en-GB"/>
        </w:rPr>
        <w:t xml:space="preserve">11 </w:t>
      </w:r>
      <w:r w:rsidRPr="00817EA3">
        <w:rPr>
          <w:rFonts w:ascii="Times New Roman" w:hAnsi="Times New Roman" w:cs="Times New Roman"/>
          <w:sz w:val="23"/>
          <w:szCs w:val="23"/>
          <w:lang w:val="en-GB"/>
        </w:rPr>
        <w:t>Savelli, C. Time-space distribution of magmatic activity in the western Mediterranean and peripheral orogens during the past 30 Ma (a stimulus to geodynamic considerations</w:t>
      </w:r>
      <w:r w:rsidRPr="00817EA3">
        <w:rPr>
          <w:rFonts w:ascii="Times New Roman" w:hAnsi="Times New Roman" w:cs="Times New Roman"/>
          <w:i/>
          <w:sz w:val="23"/>
          <w:szCs w:val="23"/>
          <w:lang w:val="en-GB"/>
        </w:rPr>
        <w:t>)</w:t>
      </w:r>
      <w:r w:rsidRPr="00817EA3">
        <w:rPr>
          <w:rFonts w:ascii="Times New Roman" w:hAnsi="Times New Roman" w:cs="Times New Roman"/>
          <w:sz w:val="23"/>
          <w:szCs w:val="23"/>
          <w:lang w:val="en-GB"/>
        </w:rPr>
        <w:t>,</w:t>
      </w:r>
      <w:r w:rsidRPr="00817EA3">
        <w:rPr>
          <w:rFonts w:ascii="Times New Roman" w:hAnsi="Times New Roman" w:cs="Times New Roman"/>
          <w:i/>
          <w:sz w:val="23"/>
          <w:szCs w:val="23"/>
          <w:lang w:val="en-GB"/>
        </w:rPr>
        <w:t xml:space="preserve"> </w:t>
      </w:r>
      <w:r w:rsidRPr="00817EA3">
        <w:rPr>
          <w:rFonts w:ascii="Times New Roman" w:hAnsi="Times New Roman" w:cs="Times New Roman"/>
          <w:i/>
          <w:iCs/>
          <w:sz w:val="23"/>
          <w:szCs w:val="23"/>
          <w:lang w:val="en-GB"/>
        </w:rPr>
        <w:t>J. of Geodynamics</w:t>
      </w:r>
      <w:r w:rsidRPr="00817EA3">
        <w:rPr>
          <w:rFonts w:ascii="Times New Roman" w:hAnsi="Times New Roman" w:cs="Times New Roman"/>
          <w:sz w:val="23"/>
          <w:szCs w:val="23"/>
          <w:lang w:val="en-GB"/>
        </w:rPr>
        <w:t xml:space="preserve">, </w:t>
      </w:r>
      <w:r w:rsidRPr="00055AF1">
        <w:rPr>
          <w:rFonts w:ascii="Times New Roman" w:hAnsi="Times New Roman" w:cs="Times New Roman"/>
          <w:b/>
          <w:bCs/>
          <w:sz w:val="23"/>
          <w:szCs w:val="23"/>
          <w:lang w:val="en-GB"/>
        </w:rPr>
        <w:t>34</w:t>
      </w:r>
      <w:r w:rsidRPr="00817EA3">
        <w:rPr>
          <w:rFonts w:ascii="Times New Roman" w:hAnsi="Times New Roman" w:cs="Times New Roman"/>
          <w:bCs/>
          <w:sz w:val="23"/>
          <w:szCs w:val="23"/>
          <w:lang w:val="en-GB"/>
        </w:rPr>
        <w:t>,</w:t>
      </w:r>
      <w:r w:rsidRPr="00817EA3">
        <w:rPr>
          <w:rFonts w:ascii="Times New Roman" w:hAnsi="Times New Roman" w:cs="Times New Roman"/>
          <w:sz w:val="23"/>
          <w:szCs w:val="23"/>
          <w:lang w:val="en-GB"/>
        </w:rPr>
        <w:t xml:space="preserve"> 99-126</w:t>
      </w:r>
      <w:r>
        <w:rPr>
          <w:rFonts w:ascii="Times New Roman" w:hAnsi="Times New Roman" w:cs="Times New Roman"/>
          <w:sz w:val="23"/>
          <w:szCs w:val="23"/>
          <w:lang w:val="en-GB"/>
        </w:rPr>
        <w:t xml:space="preserve"> </w:t>
      </w:r>
      <w:r w:rsidRPr="00817EA3">
        <w:rPr>
          <w:rFonts w:ascii="Times New Roman" w:hAnsi="Times New Roman" w:cs="Times New Roman"/>
          <w:sz w:val="23"/>
          <w:szCs w:val="23"/>
          <w:lang w:val="en-GB"/>
        </w:rPr>
        <w:t>(2002</w:t>
      </w:r>
      <w:r>
        <w:rPr>
          <w:rFonts w:ascii="Times New Roman" w:hAnsi="Times New Roman" w:cs="Times New Roman"/>
          <w:sz w:val="23"/>
          <w:szCs w:val="23"/>
          <w:lang w:val="en-GB"/>
        </w:rPr>
        <w:t>)</w:t>
      </w:r>
      <w:r w:rsidRPr="00817EA3">
        <w:rPr>
          <w:rFonts w:ascii="Times New Roman" w:hAnsi="Times New Roman" w:cs="Times New Roman"/>
          <w:sz w:val="23"/>
          <w:szCs w:val="23"/>
          <w:lang w:val="en-GB"/>
        </w:rPr>
        <w:t>.</w:t>
      </w:r>
      <w:r>
        <w:rPr>
          <w:rFonts w:ascii="Times New Roman" w:hAnsi="Times New Roman" w:cs="Times New Roman"/>
          <w:sz w:val="23"/>
          <w:szCs w:val="23"/>
          <w:lang w:val="en-GB"/>
        </w:rPr>
        <w:t xml:space="preserve"> </w:t>
      </w:r>
    </w:p>
    <w:p w:rsidR="00025D07" w:rsidRPr="00A746CB" w:rsidRDefault="00025D07" w:rsidP="00025D07">
      <w:pPr>
        <w:pStyle w:val="Testonormale"/>
        <w:spacing w:line="240" w:lineRule="auto"/>
        <w:ind w:hanging="284"/>
        <w:jc w:val="both"/>
        <w:rPr>
          <w:rFonts w:ascii="Times New Roman" w:hAnsi="Times New Roman" w:cs="Times New Roman"/>
          <w:sz w:val="24"/>
          <w:szCs w:val="23"/>
          <w:lang w:val="en-GB"/>
        </w:rPr>
      </w:pPr>
      <w:r>
        <w:rPr>
          <w:rFonts w:ascii="Times New Roman" w:hAnsi="Times New Roman" w:cs="Times New Roman"/>
          <w:sz w:val="24"/>
          <w:szCs w:val="23"/>
          <w:lang w:val="en-GB"/>
        </w:rPr>
        <w:t xml:space="preserve">12. </w:t>
      </w:r>
      <w:r w:rsidRPr="00A746CB">
        <w:rPr>
          <w:rFonts w:ascii="Times New Roman" w:hAnsi="Times New Roman" w:cs="Times New Roman"/>
          <w:sz w:val="24"/>
          <w:szCs w:val="23"/>
          <w:lang w:val="en-GB"/>
        </w:rPr>
        <w:t xml:space="preserve">Vigliotti L. </w:t>
      </w:r>
      <w:r>
        <w:rPr>
          <w:rFonts w:ascii="Times New Roman" w:hAnsi="Times New Roman" w:cs="Times New Roman"/>
          <w:sz w:val="24"/>
          <w:szCs w:val="23"/>
          <w:lang w:val="en-GB"/>
        </w:rPr>
        <w:t>&amp;</w:t>
      </w:r>
      <w:r w:rsidRPr="00A746CB">
        <w:rPr>
          <w:rFonts w:ascii="Times New Roman" w:hAnsi="Times New Roman" w:cs="Times New Roman"/>
          <w:sz w:val="24"/>
          <w:szCs w:val="23"/>
          <w:lang w:val="en-GB"/>
        </w:rPr>
        <w:t xml:space="preserve"> Langenheim V.E. When did Sardinia stop rotating? New palaeomagnetic results, </w:t>
      </w:r>
      <w:r w:rsidRPr="00A746CB">
        <w:rPr>
          <w:rFonts w:ascii="Times New Roman" w:hAnsi="Times New Roman" w:cs="Times New Roman"/>
          <w:i/>
          <w:iCs/>
          <w:sz w:val="24"/>
          <w:szCs w:val="23"/>
          <w:lang w:val="en-GB"/>
        </w:rPr>
        <w:t>Terra Nova,</w:t>
      </w:r>
      <w:r w:rsidRPr="00A746CB">
        <w:rPr>
          <w:rFonts w:ascii="Times New Roman" w:hAnsi="Times New Roman" w:cs="Times New Roman"/>
          <w:i/>
          <w:sz w:val="24"/>
          <w:szCs w:val="23"/>
          <w:lang w:val="en-GB"/>
        </w:rPr>
        <w:t xml:space="preserve"> </w:t>
      </w:r>
      <w:r w:rsidRPr="00055AF1">
        <w:rPr>
          <w:rFonts w:ascii="Times New Roman" w:hAnsi="Times New Roman" w:cs="Times New Roman"/>
          <w:b/>
          <w:bCs/>
          <w:sz w:val="24"/>
          <w:szCs w:val="23"/>
          <w:lang w:val="en-GB"/>
        </w:rPr>
        <w:t>7</w:t>
      </w:r>
      <w:r w:rsidRPr="00A746CB">
        <w:rPr>
          <w:rFonts w:ascii="Times New Roman" w:hAnsi="Times New Roman" w:cs="Times New Roman"/>
          <w:sz w:val="24"/>
          <w:szCs w:val="23"/>
          <w:lang w:val="en-GB"/>
        </w:rPr>
        <w:t>, 424-435</w:t>
      </w:r>
      <w:r>
        <w:rPr>
          <w:rFonts w:ascii="Times New Roman" w:hAnsi="Times New Roman" w:cs="Times New Roman"/>
          <w:sz w:val="24"/>
          <w:szCs w:val="23"/>
          <w:lang w:val="en-GB"/>
        </w:rPr>
        <w:t xml:space="preserve"> (1995).</w:t>
      </w:r>
    </w:p>
    <w:p w:rsidR="00025D07" w:rsidRPr="00817EA3" w:rsidRDefault="00025D07" w:rsidP="00025D07">
      <w:pPr>
        <w:spacing w:line="240" w:lineRule="auto"/>
        <w:ind w:hanging="284"/>
        <w:rPr>
          <w:sz w:val="23"/>
          <w:szCs w:val="23"/>
        </w:rPr>
      </w:pPr>
      <w:r>
        <w:rPr>
          <w:sz w:val="23"/>
          <w:szCs w:val="23"/>
        </w:rPr>
        <w:t>13. “</w:t>
      </w:r>
      <w:r w:rsidRPr="00817EA3">
        <w:rPr>
          <w:sz w:val="23"/>
          <w:szCs w:val="23"/>
        </w:rPr>
        <w:t xml:space="preserve">Gattacceca, J., </w:t>
      </w:r>
      <w:r>
        <w:rPr>
          <w:sz w:val="23"/>
          <w:szCs w:val="23"/>
        </w:rPr>
        <w:t xml:space="preserve">et al.” </w:t>
      </w:r>
      <w:r w:rsidRPr="00817EA3">
        <w:rPr>
          <w:sz w:val="23"/>
          <w:szCs w:val="23"/>
        </w:rPr>
        <w:t xml:space="preserve">Miocene rotation of Sardinia: New paleomagnetic and geochronological constraints and geodynamic implications, </w:t>
      </w:r>
      <w:r w:rsidRPr="00817EA3">
        <w:rPr>
          <w:i/>
          <w:sz w:val="23"/>
          <w:szCs w:val="23"/>
        </w:rPr>
        <w:t xml:space="preserve">Earth and Planetary Science Letters, </w:t>
      </w:r>
      <w:r w:rsidRPr="00BC32F2">
        <w:rPr>
          <w:b/>
          <w:sz w:val="23"/>
          <w:szCs w:val="23"/>
        </w:rPr>
        <w:t>258/3-4</w:t>
      </w:r>
      <w:r w:rsidRPr="00817EA3">
        <w:rPr>
          <w:sz w:val="23"/>
          <w:szCs w:val="23"/>
        </w:rPr>
        <w:t>, 359-377</w:t>
      </w:r>
      <w:r>
        <w:rPr>
          <w:sz w:val="23"/>
          <w:szCs w:val="23"/>
        </w:rPr>
        <w:t xml:space="preserve"> (2007)</w:t>
      </w:r>
      <w:r w:rsidRPr="00817EA3">
        <w:rPr>
          <w:sz w:val="23"/>
          <w:szCs w:val="23"/>
        </w:rPr>
        <w:t>.</w:t>
      </w:r>
      <w:r>
        <w:rPr>
          <w:sz w:val="23"/>
          <w:szCs w:val="23"/>
        </w:rPr>
        <w:t xml:space="preserve"> </w:t>
      </w:r>
    </w:p>
    <w:p w:rsidR="00025D07" w:rsidRPr="00A746CB" w:rsidRDefault="00025D07" w:rsidP="00025D07">
      <w:pPr>
        <w:pStyle w:val="Testonormale"/>
        <w:spacing w:line="240" w:lineRule="auto"/>
        <w:ind w:hanging="284"/>
        <w:jc w:val="both"/>
        <w:rPr>
          <w:rFonts w:ascii="Times New Roman" w:hAnsi="Times New Roman" w:cs="Times New Roman"/>
          <w:color w:val="000000"/>
          <w:sz w:val="24"/>
          <w:szCs w:val="23"/>
          <w:lang w:val="en-GB"/>
        </w:rPr>
      </w:pPr>
      <w:r>
        <w:rPr>
          <w:rFonts w:ascii="Times New Roman" w:hAnsi="Times New Roman" w:cs="Times New Roman"/>
          <w:color w:val="000000"/>
          <w:sz w:val="24"/>
          <w:szCs w:val="23"/>
          <w:lang w:val="en-GB"/>
        </w:rPr>
        <w:t xml:space="preserve">14. </w:t>
      </w:r>
      <w:r w:rsidRPr="00A746CB">
        <w:rPr>
          <w:rFonts w:ascii="Times New Roman" w:hAnsi="Times New Roman" w:cs="Times New Roman"/>
          <w:color w:val="000000"/>
          <w:sz w:val="24"/>
          <w:szCs w:val="23"/>
          <w:lang w:val="en-GB"/>
        </w:rPr>
        <w:t>Bruguier</w:t>
      </w:r>
      <w:r>
        <w:rPr>
          <w:rFonts w:ascii="Times New Roman" w:hAnsi="Times New Roman" w:cs="Times New Roman"/>
          <w:color w:val="000000"/>
          <w:sz w:val="24"/>
          <w:szCs w:val="23"/>
          <w:lang w:val="en-GB"/>
        </w:rPr>
        <w:t>,</w:t>
      </w:r>
      <w:r w:rsidRPr="00A746CB">
        <w:rPr>
          <w:rFonts w:ascii="Times New Roman" w:hAnsi="Times New Roman" w:cs="Times New Roman"/>
          <w:color w:val="000000"/>
          <w:sz w:val="24"/>
          <w:szCs w:val="23"/>
          <w:lang w:val="en-GB"/>
        </w:rPr>
        <w:t xml:space="preserve"> O., D</w:t>
      </w:r>
      <w:r>
        <w:rPr>
          <w:rFonts w:ascii="Times New Roman" w:hAnsi="Times New Roman" w:cs="Times New Roman"/>
          <w:color w:val="000000"/>
          <w:sz w:val="24"/>
          <w:szCs w:val="23"/>
          <w:lang w:val="en-GB"/>
        </w:rPr>
        <w:t>,</w:t>
      </w:r>
      <w:r w:rsidRPr="00A746CB">
        <w:rPr>
          <w:rFonts w:ascii="Times New Roman" w:hAnsi="Times New Roman" w:cs="Times New Roman"/>
          <w:color w:val="000000"/>
          <w:sz w:val="24"/>
          <w:szCs w:val="23"/>
          <w:lang w:val="en-GB"/>
        </w:rPr>
        <w:t>. Hammor, D</w:t>
      </w:r>
      <w:r>
        <w:rPr>
          <w:rFonts w:ascii="Times New Roman" w:hAnsi="Times New Roman" w:cs="Times New Roman"/>
          <w:color w:val="000000"/>
          <w:sz w:val="24"/>
          <w:szCs w:val="23"/>
          <w:lang w:val="en-GB"/>
        </w:rPr>
        <w:t>,</w:t>
      </w:r>
      <w:r w:rsidRPr="00A746CB">
        <w:rPr>
          <w:rFonts w:ascii="Times New Roman" w:hAnsi="Times New Roman" w:cs="Times New Roman"/>
          <w:color w:val="000000"/>
          <w:sz w:val="24"/>
          <w:szCs w:val="23"/>
          <w:lang w:val="en-GB"/>
        </w:rPr>
        <w:t xml:space="preserve">. Bosch </w:t>
      </w:r>
      <w:r>
        <w:rPr>
          <w:rFonts w:ascii="Times New Roman" w:hAnsi="Times New Roman" w:cs="Times New Roman"/>
          <w:color w:val="000000"/>
          <w:sz w:val="24"/>
          <w:szCs w:val="23"/>
          <w:lang w:val="en-GB"/>
        </w:rPr>
        <w:t>&amp;</w:t>
      </w:r>
      <w:r w:rsidRPr="00A746CB">
        <w:rPr>
          <w:rFonts w:ascii="Times New Roman" w:hAnsi="Times New Roman" w:cs="Times New Roman"/>
          <w:color w:val="000000"/>
          <w:sz w:val="24"/>
          <w:szCs w:val="23"/>
          <w:lang w:val="en-GB"/>
        </w:rPr>
        <w:t xml:space="preserve"> Caby</w:t>
      </w:r>
      <w:r>
        <w:rPr>
          <w:rFonts w:ascii="Times New Roman" w:hAnsi="Times New Roman" w:cs="Times New Roman"/>
          <w:color w:val="000000"/>
          <w:sz w:val="24"/>
          <w:szCs w:val="23"/>
          <w:lang w:val="en-GB"/>
        </w:rPr>
        <w:t>,</w:t>
      </w:r>
      <w:r w:rsidRPr="00A746CB">
        <w:rPr>
          <w:rFonts w:ascii="Times New Roman" w:hAnsi="Times New Roman" w:cs="Times New Roman"/>
          <w:color w:val="000000"/>
          <w:sz w:val="24"/>
          <w:szCs w:val="23"/>
          <w:lang w:val="en-GB"/>
        </w:rPr>
        <w:t xml:space="preserve"> </w:t>
      </w:r>
      <w:r>
        <w:rPr>
          <w:rFonts w:ascii="Times New Roman" w:hAnsi="Times New Roman" w:cs="Times New Roman"/>
          <w:color w:val="000000"/>
          <w:sz w:val="24"/>
          <w:szCs w:val="23"/>
          <w:lang w:val="en-GB"/>
        </w:rPr>
        <w:t xml:space="preserve">R. </w:t>
      </w:r>
      <w:r w:rsidRPr="00A746CB">
        <w:rPr>
          <w:rFonts w:ascii="Times New Roman" w:hAnsi="Times New Roman" w:cs="Times New Roman"/>
          <w:color w:val="000000"/>
          <w:sz w:val="24"/>
          <w:szCs w:val="23"/>
          <w:lang w:val="en-GB"/>
        </w:rPr>
        <w:t xml:space="preserve">Miocene incorporation of peridotite into the Hercynian basement of the Maghrebides (Edough massif, NE Algeria): Implications for the geodynamic evolution of the Western Mediterranean, </w:t>
      </w:r>
      <w:r w:rsidRPr="00A746CB">
        <w:rPr>
          <w:rFonts w:ascii="Times New Roman" w:hAnsi="Times New Roman" w:cs="Times New Roman"/>
          <w:i/>
          <w:color w:val="000000"/>
          <w:sz w:val="24"/>
          <w:szCs w:val="23"/>
          <w:lang w:val="en-GB"/>
        </w:rPr>
        <w:t xml:space="preserve">Chemical Geology, </w:t>
      </w:r>
      <w:r w:rsidRPr="00B54945">
        <w:rPr>
          <w:rFonts w:ascii="Times New Roman" w:hAnsi="Times New Roman" w:cs="Times New Roman"/>
          <w:b/>
          <w:color w:val="000000"/>
          <w:sz w:val="24"/>
          <w:szCs w:val="23"/>
          <w:lang w:val="en-GB"/>
        </w:rPr>
        <w:t>261/1-2</w:t>
      </w:r>
      <w:r w:rsidRPr="00A746CB">
        <w:rPr>
          <w:rFonts w:ascii="Times New Roman" w:hAnsi="Times New Roman" w:cs="Times New Roman"/>
          <w:color w:val="000000"/>
          <w:sz w:val="24"/>
          <w:szCs w:val="23"/>
          <w:lang w:val="en-GB"/>
        </w:rPr>
        <w:t>, 171-183</w:t>
      </w:r>
      <w:r>
        <w:rPr>
          <w:rFonts w:ascii="Times New Roman" w:hAnsi="Times New Roman" w:cs="Times New Roman"/>
          <w:color w:val="000000"/>
          <w:sz w:val="24"/>
          <w:szCs w:val="23"/>
          <w:lang w:val="en-GB"/>
        </w:rPr>
        <w:t xml:space="preserve"> </w:t>
      </w:r>
      <w:r w:rsidRPr="00A746CB">
        <w:rPr>
          <w:rFonts w:ascii="Times New Roman" w:hAnsi="Times New Roman" w:cs="Times New Roman"/>
          <w:color w:val="000000"/>
          <w:sz w:val="24"/>
          <w:szCs w:val="23"/>
          <w:lang w:val="en-GB"/>
        </w:rPr>
        <w:t>(2009)</w:t>
      </w:r>
      <w:r>
        <w:rPr>
          <w:rFonts w:ascii="Times New Roman" w:hAnsi="Times New Roman" w:cs="Times New Roman"/>
          <w:color w:val="000000"/>
          <w:sz w:val="24"/>
          <w:szCs w:val="23"/>
          <w:lang w:val="en-GB"/>
        </w:rPr>
        <w:t>;</w:t>
      </w:r>
      <w:r w:rsidRPr="00A746CB">
        <w:rPr>
          <w:rFonts w:ascii="Times New Roman" w:hAnsi="Times New Roman" w:cs="Times New Roman"/>
          <w:sz w:val="24"/>
          <w:szCs w:val="23"/>
          <w:lang w:val="en-GB"/>
        </w:rPr>
        <w:t xml:space="preserve"> </w:t>
      </w:r>
      <w:r w:rsidR="00415791">
        <w:rPr>
          <w:rFonts w:ascii="Times New Roman" w:hAnsi="Times New Roman" w:cs="Times New Roman"/>
          <w:noProof/>
          <w:sz w:val="24"/>
          <w:szCs w:val="23"/>
        </w:rPr>
        <w:drawing>
          <wp:inline distT="0" distB="0" distL="0" distR="0">
            <wp:extent cx="9525" cy="104775"/>
            <wp:effectExtent l="0" t="0" r="0" b="0"/>
            <wp:docPr id="7" name="Immagine 1" descr="http://www.sciencedirect.com/scidirimg/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sciencedirect.com/scidirimg/clear.gif"/>
                    <pic:cNvPicPr>
                      <a:picLocks noChangeAspect="1" noChangeArrowheads="1"/>
                    </pic:cNvPicPr>
                  </pic:nvPicPr>
                  <pic:blipFill>
                    <a:blip r:embed="rId15"/>
                    <a:srcRect/>
                    <a:stretch>
                      <a:fillRect/>
                    </a:stretch>
                  </pic:blipFill>
                  <pic:spPr bwMode="auto">
                    <a:xfrm>
                      <a:off x="0" y="0"/>
                      <a:ext cx="9525" cy="104775"/>
                    </a:xfrm>
                    <a:prstGeom prst="rect">
                      <a:avLst/>
                    </a:prstGeom>
                    <a:noFill/>
                    <a:ln w="9525">
                      <a:noFill/>
                      <a:miter lim="800000"/>
                      <a:headEnd/>
                      <a:tailEnd/>
                    </a:ln>
                  </pic:spPr>
                </pic:pic>
              </a:graphicData>
            </a:graphic>
          </wp:inline>
        </w:drawing>
      </w:r>
      <w:hyperlink r:id="rId16" w:tgtFrame="doilink" w:history="1">
        <w:r w:rsidRPr="00A746CB">
          <w:rPr>
            <w:rFonts w:ascii="Times New Roman" w:hAnsi="Times New Roman" w:cs="Times New Roman"/>
            <w:sz w:val="24"/>
            <w:szCs w:val="23"/>
            <w:lang w:val="en-GB"/>
          </w:rPr>
          <w:t>doi:10.1016/j.chemgeo.2008.11.016</w:t>
        </w:r>
      </w:hyperlink>
      <w:r w:rsidRPr="00A746CB">
        <w:rPr>
          <w:rFonts w:ascii="Times New Roman" w:hAnsi="Times New Roman" w:cs="Times New Roman"/>
          <w:sz w:val="24"/>
          <w:szCs w:val="23"/>
          <w:lang w:val="en-GB"/>
        </w:rPr>
        <w:t xml:space="preserve"> </w:t>
      </w:r>
    </w:p>
    <w:p w:rsidR="00025D07" w:rsidRPr="00817EA3" w:rsidRDefault="00025D07" w:rsidP="00025D07">
      <w:pPr>
        <w:pStyle w:val="Testonormale"/>
        <w:spacing w:line="240" w:lineRule="auto"/>
        <w:ind w:hanging="284"/>
        <w:jc w:val="both"/>
        <w:rPr>
          <w:rFonts w:ascii="Times New Roman" w:hAnsi="Times New Roman" w:cs="Times New Roman"/>
          <w:sz w:val="23"/>
          <w:szCs w:val="23"/>
          <w:lang w:val="en-GB"/>
        </w:rPr>
      </w:pPr>
      <w:r>
        <w:rPr>
          <w:rFonts w:ascii="Times New Roman" w:hAnsi="Times New Roman" w:cs="Times New Roman"/>
          <w:sz w:val="24"/>
          <w:szCs w:val="23"/>
          <w:lang w:val="en-GB"/>
        </w:rPr>
        <w:t>15. “</w:t>
      </w:r>
      <w:r w:rsidRPr="00817EA3">
        <w:rPr>
          <w:rFonts w:ascii="Times New Roman" w:hAnsi="Times New Roman" w:cs="Times New Roman"/>
          <w:color w:val="000000"/>
          <w:sz w:val="23"/>
          <w:szCs w:val="23"/>
          <w:lang w:val="en-GB"/>
        </w:rPr>
        <w:t xml:space="preserve">Maury </w:t>
      </w:r>
      <w:r w:rsidRPr="00817EA3">
        <w:rPr>
          <w:rFonts w:ascii="Times New Roman" w:hAnsi="Times New Roman" w:cs="Times New Roman"/>
          <w:color w:val="231F20"/>
          <w:sz w:val="23"/>
          <w:szCs w:val="23"/>
          <w:lang w:val="en-GB"/>
        </w:rPr>
        <w:t>C. R.</w:t>
      </w:r>
      <w:r w:rsidRPr="00817EA3">
        <w:rPr>
          <w:rFonts w:ascii="Times New Roman" w:hAnsi="Times New Roman" w:cs="Times New Roman"/>
          <w:color w:val="000000"/>
          <w:sz w:val="23"/>
          <w:szCs w:val="23"/>
          <w:lang w:val="en-GB"/>
        </w:rPr>
        <w:t xml:space="preserve">, </w:t>
      </w:r>
      <w:r>
        <w:rPr>
          <w:rFonts w:ascii="Times New Roman" w:hAnsi="Times New Roman" w:cs="Times New Roman"/>
          <w:color w:val="000000"/>
          <w:sz w:val="23"/>
          <w:szCs w:val="23"/>
          <w:lang w:val="en-GB"/>
        </w:rPr>
        <w:t xml:space="preserve">et al.” </w:t>
      </w:r>
      <w:r w:rsidRPr="00817EA3">
        <w:rPr>
          <w:rFonts w:ascii="Times New Roman" w:hAnsi="Times New Roman" w:cs="Times New Roman"/>
          <w:color w:val="000000"/>
          <w:sz w:val="23"/>
          <w:szCs w:val="23"/>
          <w:lang w:val="en-GB"/>
        </w:rPr>
        <w:t>Post-collisional Neogene magmatism of the Mediterranean Maghreb margin:</w:t>
      </w:r>
      <w:r>
        <w:rPr>
          <w:rFonts w:ascii="Times New Roman" w:hAnsi="Times New Roman" w:cs="Times New Roman"/>
          <w:color w:val="000000"/>
          <w:sz w:val="23"/>
          <w:szCs w:val="23"/>
          <w:lang w:val="en-GB"/>
        </w:rPr>
        <w:t xml:space="preserve"> a consequence of slab breakoff.</w:t>
      </w:r>
      <w:r w:rsidRPr="00817EA3">
        <w:rPr>
          <w:rFonts w:ascii="Times New Roman" w:hAnsi="Times New Roman" w:cs="Times New Roman"/>
          <w:color w:val="000000"/>
          <w:sz w:val="23"/>
          <w:szCs w:val="23"/>
          <w:lang w:val="en-GB"/>
        </w:rPr>
        <w:t xml:space="preserve"> </w:t>
      </w:r>
      <w:r w:rsidRPr="00817EA3">
        <w:rPr>
          <w:rFonts w:ascii="Times New Roman" w:hAnsi="Times New Roman" w:cs="Times New Roman"/>
          <w:i/>
          <w:sz w:val="23"/>
          <w:szCs w:val="23"/>
          <w:lang w:val="en-GB"/>
        </w:rPr>
        <w:t>C.R. Acad. Sci. Paris</w:t>
      </w:r>
      <w:r w:rsidRPr="00817EA3">
        <w:rPr>
          <w:rFonts w:ascii="Times New Roman" w:hAnsi="Times New Roman" w:cs="Times New Roman"/>
          <w:sz w:val="23"/>
          <w:szCs w:val="23"/>
          <w:lang w:val="en-GB"/>
        </w:rPr>
        <w:t xml:space="preserve">, </w:t>
      </w:r>
      <w:r w:rsidRPr="00CB39BF">
        <w:rPr>
          <w:rFonts w:ascii="Times New Roman" w:hAnsi="Times New Roman" w:cs="Times New Roman"/>
          <w:b/>
          <w:sz w:val="23"/>
          <w:szCs w:val="23"/>
          <w:lang w:val="en-GB"/>
        </w:rPr>
        <w:t>331</w:t>
      </w:r>
      <w:r w:rsidRPr="00817EA3">
        <w:rPr>
          <w:rFonts w:ascii="Times New Roman" w:hAnsi="Times New Roman" w:cs="Times New Roman"/>
          <w:i/>
          <w:sz w:val="23"/>
          <w:szCs w:val="23"/>
          <w:lang w:val="en-GB"/>
        </w:rPr>
        <w:t>,</w:t>
      </w:r>
      <w:r w:rsidRPr="00817EA3">
        <w:rPr>
          <w:rFonts w:ascii="Times New Roman" w:hAnsi="Times New Roman" w:cs="Times New Roman"/>
          <w:color w:val="000000"/>
          <w:sz w:val="23"/>
          <w:szCs w:val="23"/>
          <w:lang w:val="en-GB"/>
        </w:rPr>
        <w:t xml:space="preserve"> </w:t>
      </w:r>
      <w:r w:rsidRPr="00817EA3">
        <w:rPr>
          <w:rFonts w:ascii="Times New Roman" w:hAnsi="Times New Roman" w:cs="Times New Roman"/>
          <w:sz w:val="23"/>
          <w:szCs w:val="23"/>
          <w:lang w:val="en-GB"/>
        </w:rPr>
        <w:t>159-173</w:t>
      </w:r>
      <w:r>
        <w:rPr>
          <w:rFonts w:ascii="Times New Roman" w:hAnsi="Times New Roman" w:cs="Times New Roman"/>
          <w:sz w:val="23"/>
          <w:szCs w:val="23"/>
          <w:lang w:val="en-GB"/>
        </w:rPr>
        <w:t xml:space="preserve"> </w:t>
      </w:r>
      <w:r w:rsidRPr="00817EA3">
        <w:rPr>
          <w:rFonts w:ascii="Times New Roman" w:hAnsi="Times New Roman" w:cs="Times New Roman"/>
          <w:color w:val="000000"/>
          <w:sz w:val="23"/>
          <w:szCs w:val="23"/>
          <w:lang w:val="en-GB"/>
        </w:rPr>
        <w:t>(2000)</w:t>
      </w:r>
      <w:r w:rsidRPr="00817EA3">
        <w:rPr>
          <w:rFonts w:ascii="Times New Roman" w:hAnsi="Times New Roman" w:cs="Times New Roman"/>
          <w:sz w:val="23"/>
          <w:szCs w:val="23"/>
          <w:lang w:val="en-GB"/>
        </w:rPr>
        <w:t>.</w:t>
      </w:r>
      <w:r>
        <w:rPr>
          <w:rFonts w:ascii="Times New Roman" w:hAnsi="Times New Roman" w:cs="Times New Roman"/>
          <w:sz w:val="23"/>
          <w:szCs w:val="23"/>
          <w:lang w:val="en-GB"/>
        </w:rPr>
        <w:t xml:space="preserve"> </w:t>
      </w:r>
    </w:p>
    <w:p w:rsidR="00025D07" w:rsidRPr="001D0A5B" w:rsidRDefault="00025D07" w:rsidP="00025D07">
      <w:pPr>
        <w:spacing w:line="240" w:lineRule="auto"/>
        <w:ind w:hanging="284"/>
        <w:rPr>
          <w:szCs w:val="23"/>
          <w:lang w:val="it-IT"/>
        </w:rPr>
      </w:pPr>
      <w:r w:rsidRPr="00CB39BF">
        <w:rPr>
          <w:szCs w:val="23"/>
        </w:rPr>
        <w:t xml:space="preserve">16. </w:t>
      </w:r>
      <w:r w:rsidRPr="00CB39BF">
        <w:rPr>
          <w:rFonts w:eastAsia="Times New Roman"/>
          <w:color w:val="231F20"/>
          <w:szCs w:val="23"/>
          <w:lang w:eastAsia="en-US"/>
        </w:rPr>
        <w:t xml:space="preserve">Marani M.P. &amp; Gamberi F. </w:t>
      </w:r>
      <w:r w:rsidRPr="00A746CB">
        <w:rPr>
          <w:rFonts w:eastAsia="Times New Roman"/>
          <w:bCs/>
          <w:color w:val="231F20"/>
          <w:szCs w:val="23"/>
          <w:lang w:eastAsia="en-US"/>
        </w:rPr>
        <w:t xml:space="preserve">Structural framework of the Tyrrhenian Sea unveiled by seafloor morphology. </w:t>
      </w:r>
      <w:r w:rsidRPr="001D0A5B">
        <w:rPr>
          <w:rFonts w:eastAsia="Times New Roman"/>
          <w:iCs/>
          <w:color w:val="231F20"/>
          <w:szCs w:val="23"/>
          <w:lang w:val="it-IT" w:eastAsia="en-US"/>
        </w:rPr>
        <w:t>Memorie Descrittive Carta Geologica d’Italia,</w:t>
      </w:r>
      <w:r w:rsidRPr="001D0A5B">
        <w:rPr>
          <w:rFonts w:eastAsia="Times New Roman"/>
          <w:i/>
          <w:iCs/>
          <w:color w:val="231F20"/>
          <w:szCs w:val="23"/>
          <w:lang w:val="it-IT" w:eastAsia="en-US"/>
        </w:rPr>
        <w:t xml:space="preserve"> </w:t>
      </w:r>
      <w:r w:rsidRPr="001D0A5B">
        <w:rPr>
          <w:rFonts w:eastAsia="Times New Roman"/>
          <w:color w:val="231F20"/>
          <w:szCs w:val="23"/>
          <w:lang w:val="it-IT" w:eastAsia="en-US"/>
        </w:rPr>
        <w:t>XLIV, 97-108 (</w:t>
      </w:r>
      <w:r w:rsidRPr="00CB39BF">
        <w:rPr>
          <w:rFonts w:eastAsia="Times New Roman"/>
          <w:color w:val="231F20"/>
          <w:szCs w:val="23"/>
          <w:lang w:val="it-IT" w:eastAsia="en-US"/>
        </w:rPr>
        <w:t>2004</w:t>
      </w:r>
      <w:r>
        <w:rPr>
          <w:rFonts w:eastAsia="Times New Roman"/>
          <w:color w:val="231F20"/>
          <w:szCs w:val="23"/>
          <w:lang w:val="it-IT" w:eastAsia="en-US"/>
        </w:rPr>
        <w:t>)</w:t>
      </w:r>
      <w:r w:rsidRPr="001D0A5B">
        <w:rPr>
          <w:rFonts w:eastAsia="Times New Roman"/>
          <w:color w:val="231F20"/>
          <w:szCs w:val="23"/>
          <w:lang w:val="it-IT" w:eastAsia="en-US"/>
        </w:rPr>
        <w:t>. Open access.</w:t>
      </w:r>
    </w:p>
    <w:p w:rsidR="00025D07" w:rsidRPr="00A746CB" w:rsidRDefault="00025D07" w:rsidP="00025D07">
      <w:pPr>
        <w:pStyle w:val="Testonormale"/>
        <w:spacing w:line="240" w:lineRule="auto"/>
        <w:ind w:hanging="284"/>
        <w:jc w:val="both"/>
        <w:rPr>
          <w:rFonts w:ascii="Times New Roman" w:hAnsi="Times New Roman" w:cs="Times New Roman"/>
          <w:sz w:val="24"/>
          <w:szCs w:val="23"/>
          <w:lang w:val="en-GB"/>
        </w:rPr>
      </w:pPr>
      <w:r w:rsidRPr="001D0A5B">
        <w:rPr>
          <w:rFonts w:ascii="Times New Roman" w:hAnsi="Times New Roman" w:cs="Times New Roman"/>
          <w:sz w:val="24"/>
          <w:szCs w:val="23"/>
        </w:rPr>
        <w:t xml:space="preserve">17. “Kastens, </w:t>
      </w:r>
      <w:r w:rsidRPr="001D0A5B">
        <w:rPr>
          <w:rFonts w:ascii="Times New Roman" w:hAnsi="Times New Roman" w:cs="Times New Roman"/>
          <w:color w:val="231F20"/>
          <w:sz w:val="24"/>
          <w:szCs w:val="23"/>
        </w:rPr>
        <w:t>K.</w:t>
      </w:r>
      <w:r w:rsidRPr="001D0A5B">
        <w:rPr>
          <w:rFonts w:ascii="Times New Roman" w:hAnsi="Times New Roman" w:cs="Times New Roman"/>
          <w:sz w:val="24"/>
          <w:szCs w:val="23"/>
        </w:rPr>
        <w:t xml:space="preserve"> et al.” </w:t>
      </w:r>
      <w:r w:rsidRPr="00A746CB">
        <w:rPr>
          <w:rFonts w:ascii="Times New Roman" w:hAnsi="Times New Roman" w:cs="Times New Roman"/>
          <w:sz w:val="24"/>
          <w:szCs w:val="23"/>
          <w:lang w:val="en-GB"/>
        </w:rPr>
        <w:t xml:space="preserve">ODP Leg 107 in the Tyrrhenian Sea: Insigths into passive margin and back-arc basin evolution, </w:t>
      </w:r>
      <w:r w:rsidRPr="00A746CB">
        <w:rPr>
          <w:rFonts w:ascii="Times New Roman" w:hAnsi="Times New Roman" w:cs="Times New Roman"/>
          <w:i/>
          <w:iCs/>
          <w:sz w:val="24"/>
          <w:szCs w:val="23"/>
          <w:lang w:val="en-GB"/>
        </w:rPr>
        <w:t>Geological Society of America Bulletin</w:t>
      </w:r>
      <w:r w:rsidRPr="00A746CB">
        <w:rPr>
          <w:rFonts w:ascii="Times New Roman" w:hAnsi="Times New Roman" w:cs="Times New Roman"/>
          <w:i/>
          <w:sz w:val="24"/>
          <w:szCs w:val="23"/>
          <w:lang w:val="en-GB"/>
        </w:rPr>
        <w:t xml:space="preserve">, </w:t>
      </w:r>
      <w:r w:rsidRPr="00CB39BF">
        <w:rPr>
          <w:rFonts w:ascii="Times New Roman" w:hAnsi="Times New Roman" w:cs="Times New Roman"/>
          <w:b/>
          <w:bCs/>
          <w:sz w:val="24"/>
          <w:szCs w:val="23"/>
          <w:lang w:val="en-GB"/>
        </w:rPr>
        <w:t>100</w:t>
      </w:r>
      <w:r w:rsidRPr="00A746CB">
        <w:rPr>
          <w:rFonts w:ascii="Times New Roman" w:hAnsi="Times New Roman" w:cs="Times New Roman"/>
          <w:sz w:val="24"/>
          <w:szCs w:val="23"/>
          <w:lang w:val="en-GB"/>
        </w:rPr>
        <w:t>, 1140-1156</w:t>
      </w:r>
      <w:r>
        <w:rPr>
          <w:rFonts w:ascii="Times New Roman" w:hAnsi="Times New Roman" w:cs="Times New Roman"/>
          <w:sz w:val="24"/>
          <w:szCs w:val="23"/>
          <w:lang w:val="en-GB"/>
        </w:rPr>
        <w:t xml:space="preserve"> (1988)</w:t>
      </w:r>
      <w:r w:rsidRPr="00A746CB">
        <w:rPr>
          <w:rFonts w:ascii="Times New Roman" w:hAnsi="Times New Roman" w:cs="Times New Roman"/>
          <w:sz w:val="24"/>
          <w:szCs w:val="23"/>
          <w:lang w:val="en-GB"/>
        </w:rPr>
        <w:t xml:space="preserve">. </w:t>
      </w:r>
    </w:p>
    <w:p w:rsidR="00025D07" w:rsidRPr="00A746CB" w:rsidRDefault="00025D07" w:rsidP="00025D07">
      <w:pPr>
        <w:pStyle w:val="Testonormale"/>
        <w:spacing w:line="240" w:lineRule="auto"/>
        <w:ind w:hanging="284"/>
        <w:jc w:val="both"/>
        <w:rPr>
          <w:rFonts w:ascii="Times New Roman" w:hAnsi="Times New Roman" w:cs="Times New Roman"/>
          <w:sz w:val="24"/>
          <w:szCs w:val="23"/>
          <w:lang w:val="en-GB"/>
        </w:rPr>
      </w:pPr>
      <w:r>
        <w:rPr>
          <w:rFonts w:ascii="Times New Roman" w:hAnsi="Times New Roman" w:cs="Times New Roman"/>
          <w:sz w:val="24"/>
          <w:szCs w:val="23"/>
          <w:lang w:val="en-GB"/>
        </w:rPr>
        <w:t>18. “</w:t>
      </w:r>
      <w:r w:rsidRPr="00A746CB">
        <w:rPr>
          <w:rFonts w:ascii="Times New Roman" w:hAnsi="Times New Roman" w:cs="Times New Roman"/>
          <w:sz w:val="24"/>
          <w:szCs w:val="23"/>
          <w:lang w:val="en-GB"/>
        </w:rPr>
        <w:t>Barberi</w:t>
      </w:r>
      <w:r>
        <w:rPr>
          <w:rFonts w:ascii="Times New Roman" w:hAnsi="Times New Roman" w:cs="Times New Roman"/>
          <w:sz w:val="24"/>
          <w:szCs w:val="23"/>
          <w:lang w:val="en-GB"/>
        </w:rPr>
        <w:t>,</w:t>
      </w:r>
      <w:r w:rsidRPr="00A746CB">
        <w:rPr>
          <w:rFonts w:ascii="Times New Roman" w:hAnsi="Times New Roman" w:cs="Times New Roman"/>
          <w:sz w:val="24"/>
          <w:szCs w:val="23"/>
          <w:lang w:val="en-GB"/>
        </w:rPr>
        <w:t xml:space="preserve"> </w:t>
      </w:r>
      <w:r w:rsidRPr="00A746CB">
        <w:rPr>
          <w:rFonts w:ascii="Times New Roman" w:hAnsi="Times New Roman" w:cs="Times New Roman"/>
          <w:color w:val="231F20"/>
          <w:sz w:val="24"/>
          <w:szCs w:val="23"/>
          <w:lang w:val="en-GB"/>
        </w:rPr>
        <w:t>F.</w:t>
      </w:r>
      <w:r w:rsidRPr="00A746CB">
        <w:rPr>
          <w:rFonts w:ascii="Times New Roman" w:hAnsi="Times New Roman" w:cs="Times New Roman"/>
          <w:sz w:val="24"/>
          <w:szCs w:val="23"/>
          <w:lang w:val="en-GB"/>
        </w:rPr>
        <w:t>,</w:t>
      </w:r>
      <w:r>
        <w:rPr>
          <w:rFonts w:ascii="Times New Roman" w:hAnsi="Times New Roman" w:cs="Times New Roman"/>
          <w:sz w:val="24"/>
          <w:szCs w:val="23"/>
          <w:lang w:val="en-GB"/>
        </w:rPr>
        <w:t xml:space="preserve"> et al.”</w:t>
      </w:r>
      <w:r w:rsidRPr="00A746CB">
        <w:rPr>
          <w:rFonts w:ascii="Times New Roman" w:hAnsi="Times New Roman" w:cs="Times New Roman"/>
          <w:sz w:val="24"/>
          <w:szCs w:val="23"/>
          <w:lang w:val="en-GB"/>
        </w:rPr>
        <w:t xml:space="preserve"> Age and nature of basalts from the Tyrrhenian abyssal plain. In: Hsu K., Montadert L., et al. (Eds.), </w:t>
      </w:r>
      <w:r w:rsidRPr="00A746CB">
        <w:rPr>
          <w:rFonts w:ascii="Times New Roman" w:hAnsi="Times New Roman" w:cs="Times New Roman"/>
          <w:i/>
          <w:iCs/>
          <w:sz w:val="24"/>
          <w:szCs w:val="23"/>
          <w:lang w:val="en-GB"/>
        </w:rPr>
        <w:t xml:space="preserve">Initial Reports of the DSDP, </w:t>
      </w:r>
      <w:r w:rsidRPr="00EB0235">
        <w:rPr>
          <w:rFonts w:ascii="Times New Roman" w:hAnsi="Times New Roman" w:cs="Times New Roman"/>
          <w:b/>
          <w:bCs/>
          <w:sz w:val="24"/>
          <w:szCs w:val="23"/>
          <w:lang w:val="en-GB"/>
        </w:rPr>
        <w:t>42/I</w:t>
      </w:r>
      <w:r w:rsidRPr="00A746CB">
        <w:rPr>
          <w:rFonts w:ascii="Times New Roman" w:hAnsi="Times New Roman" w:cs="Times New Roman"/>
          <w:i/>
          <w:sz w:val="24"/>
          <w:szCs w:val="23"/>
          <w:lang w:val="en-GB"/>
        </w:rPr>
        <w:t xml:space="preserve">, </w:t>
      </w:r>
      <w:r w:rsidRPr="00EB0235">
        <w:rPr>
          <w:rFonts w:ascii="Times New Roman" w:hAnsi="Times New Roman" w:cs="Times New Roman"/>
          <w:sz w:val="24"/>
          <w:szCs w:val="23"/>
          <w:lang w:val="en-GB"/>
        </w:rPr>
        <w:t>509–514</w:t>
      </w:r>
      <w:r w:rsidRPr="00A746CB">
        <w:rPr>
          <w:rFonts w:ascii="Times New Roman" w:hAnsi="Times New Roman" w:cs="Times New Roman"/>
          <w:sz w:val="24"/>
          <w:szCs w:val="23"/>
          <w:lang w:val="en-GB"/>
        </w:rPr>
        <w:t xml:space="preserve"> (</w:t>
      </w:r>
      <w:r w:rsidRPr="00A746CB">
        <w:rPr>
          <w:rFonts w:ascii="Times New Roman" w:hAnsi="Times New Roman" w:cs="Times New Roman"/>
          <w:color w:val="231F20"/>
          <w:sz w:val="24"/>
          <w:szCs w:val="23"/>
          <w:lang w:val="en-GB"/>
        </w:rPr>
        <w:t>1978)</w:t>
      </w:r>
      <w:r>
        <w:rPr>
          <w:rFonts w:ascii="Times New Roman" w:hAnsi="Times New Roman" w:cs="Times New Roman"/>
          <w:color w:val="231F20"/>
          <w:sz w:val="24"/>
          <w:szCs w:val="23"/>
          <w:lang w:val="en-GB"/>
        </w:rPr>
        <w:t>;</w:t>
      </w:r>
      <w:r w:rsidRPr="00A746CB">
        <w:rPr>
          <w:rFonts w:ascii="Times New Roman" w:hAnsi="Times New Roman" w:cs="Times New Roman"/>
          <w:color w:val="231F20"/>
          <w:sz w:val="24"/>
          <w:szCs w:val="23"/>
          <w:lang w:val="en-GB"/>
        </w:rPr>
        <w:t xml:space="preserve"> </w:t>
      </w:r>
      <w:r w:rsidRPr="00A746CB">
        <w:rPr>
          <w:rFonts w:ascii="Times New Roman" w:hAnsi="Times New Roman" w:cs="Times New Roman"/>
          <w:sz w:val="24"/>
          <w:szCs w:val="23"/>
          <w:lang w:val="en-GB"/>
        </w:rPr>
        <w:t xml:space="preserve">US Government Printing Office, Washington, DC. </w:t>
      </w:r>
    </w:p>
    <w:p w:rsidR="00025D07" w:rsidRDefault="00025D07" w:rsidP="00025D07">
      <w:pPr>
        <w:pStyle w:val="Testonormale"/>
        <w:spacing w:line="240" w:lineRule="auto"/>
        <w:ind w:hanging="284"/>
        <w:jc w:val="both"/>
        <w:rPr>
          <w:rFonts w:ascii="Times New Roman" w:hAnsi="Times New Roman" w:cs="Times New Roman"/>
          <w:sz w:val="24"/>
          <w:szCs w:val="23"/>
          <w:lang w:val="en-GB"/>
        </w:rPr>
      </w:pPr>
      <w:r>
        <w:rPr>
          <w:rFonts w:ascii="Times New Roman" w:hAnsi="Times New Roman" w:cs="Times New Roman"/>
          <w:sz w:val="24"/>
          <w:szCs w:val="23"/>
          <w:lang w:val="en-GB"/>
        </w:rPr>
        <w:t xml:space="preserve">19. </w:t>
      </w:r>
      <w:r w:rsidRPr="00A746CB">
        <w:rPr>
          <w:rFonts w:ascii="Times New Roman" w:hAnsi="Times New Roman" w:cs="Times New Roman"/>
          <w:sz w:val="24"/>
          <w:szCs w:val="23"/>
          <w:lang w:val="en-GB"/>
        </w:rPr>
        <w:t>Savelli</w:t>
      </w:r>
      <w:r>
        <w:rPr>
          <w:rFonts w:ascii="Times New Roman" w:hAnsi="Times New Roman" w:cs="Times New Roman"/>
          <w:sz w:val="24"/>
          <w:szCs w:val="23"/>
          <w:lang w:val="en-GB"/>
        </w:rPr>
        <w:t>,</w:t>
      </w:r>
      <w:r w:rsidRPr="00A746CB">
        <w:rPr>
          <w:rFonts w:ascii="Times New Roman" w:hAnsi="Times New Roman" w:cs="Times New Roman"/>
          <w:sz w:val="24"/>
          <w:szCs w:val="23"/>
          <w:lang w:val="en-GB"/>
        </w:rPr>
        <w:t xml:space="preserve"> </w:t>
      </w:r>
      <w:r w:rsidRPr="00A746CB">
        <w:rPr>
          <w:rFonts w:ascii="Times New Roman" w:hAnsi="Times New Roman" w:cs="Times New Roman"/>
          <w:color w:val="231F20"/>
          <w:sz w:val="24"/>
          <w:szCs w:val="23"/>
          <w:lang w:val="en-GB"/>
        </w:rPr>
        <w:t xml:space="preserve">C. </w:t>
      </w:r>
      <w:r>
        <w:rPr>
          <w:rFonts w:ascii="Times New Roman" w:hAnsi="Times New Roman" w:cs="Times New Roman"/>
          <w:color w:val="231F20"/>
          <w:sz w:val="24"/>
          <w:szCs w:val="23"/>
          <w:lang w:val="en-GB"/>
        </w:rPr>
        <w:t>&amp;</w:t>
      </w:r>
      <w:r w:rsidRPr="00A746CB">
        <w:rPr>
          <w:rFonts w:ascii="Times New Roman" w:hAnsi="Times New Roman" w:cs="Times New Roman"/>
          <w:sz w:val="24"/>
          <w:szCs w:val="23"/>
          <w:lang w:val="en-GB"/>
        </w:rPr>
        <w:t xml:space="preserve"> Lipparini</w:t>
      </w:r>
      <w:r>
        <w:rPr>
          <w:rFonts w:ascii="Times New Roman" w:hAnsi="Times New Roman" w:cs="Times New Roman"/>
          <w:sz w:val="24"/>
          <w:szCs w:val="23"/>
          <w:lang w:val="en-GB"/>
        </w:rPr>
        <w:t>,</w:t>
      </w:r>
      <w:r w:rsidRPr="00A746CB">
        <w:rPr>
          <w:rFonts w:ascii="Times New Roman" w:hAnsi="Times New Roman" w:cs="Times New Roman"/>
          <w:sz w:val="24"/>
          <w:szCs w:val="23"/>
          <w:lang w:val="en-GB"/>
        </w:rPr>
        <w:t xml:space="preserve"> </w:t>
      </w:r>
      <w:r>
        <w:rPr>
          <w:rFonts w:ascii="Times New Roman" w:hAnsi="Times New Roman" w:cs="Times New Roman"/>
          <w:sz w:val="24"/>
          <w:szCs w:val="23"/>
          <w:lang w:val="en-GB"/>
        </w:rPr>
        <w:t xml:space="preserve">E. </w:t>
      </w:r>
      <w:r w:rsidRPr="00A746CB">
        <w:rPr>
          <w:rFonts w:ascii="Times New Roman" w:hAnsi="Times New Roman" w:cs="Times New Roman"/>
          <w:sz w:val="24"/>
          <w:szCs w:val="23"/>
          <w:lang w:val="en-GB"/>
        </w:rPr>
        <w:t xml:space="preserve">K-Ar age determination on basalt rocks from DSDP hole 373A, </w:t>
      </w:r>
      <w:r w:rsidRPr="00A746CB">
        <w:rPr>
          <w:rFonts w:ascii="Times New Roman" w:hAnsi="Times New Roman" w:cs="Times New Roman"/>
          <w:i/>
          <w:sz w:val="24"/>
          <w:szCs w:val="23"/>
          <w:lang w:val="en-GB"/>
        </w:rPr>
        <w:t>Init.Reports of the Deep Sea Drilling Project</w:t>
      </w:r>
      <w:r w:rsidRPr="00A746CB">
        <w:rPr>
          <w:rFonts w:ascii="Times New Roman" w:hAnsi="Times New Roman" w:cs="Times New Roman"/>
          <w:b/>
          <w:i/>
          <w:sz w:val="24"/>
          <w:szCs w:val="23"/>
          <w:lang w:val="en-GB"/>
        </w:rPr>
        <w:t xml:space="preserve"> </w:t>
      </w:r>
      <w:r>
        <w:rPr>
          <w:rFonts w:ascii="Times New Roman" w:hAnsi="Times New Roman" w:cs="Times New Roman"/>
          <w:b/>
          <w:sz w:val="24"/>
          <w:szCs w:val="23"/>
          <w:lang w:val="en-GB"/>
        </w:rPr>
        <w:t>42/</w:t>
      </w:r>
      <w:r w:rsidRPr="0087282B">
        <w:rPr>
          <w:rFonts w:ascii="Times New Roman" w:hAnsi="Times New Roman" w:cs="Times New Roman"/>
          <w:b/>
          <w:sz w:val="24"/>
          <w:szCs w:val="23"/>
          <w:lang w:val="en-GB"/>
        </w:rPr>
        <w:t>1</w:t>
      </w:r>
      <w:r w:rsidRPr="00A746CB">
        <w:rPr>
          <w:rFonts w:ascii="Times New Roman" w:hAnsi="Times New Roman" w:cs="Times New Roman"/>
          <w:sz w:val="24"/>
          <w:szCs w:val="23"/>
          <w:lang w:val="en-GB"/>
        </w:rPr>
        <w:t>, 537-539</w:t>
      </w:r>
      <w:r>
        <w:rPr>
          <w:rFonts w:ascii="Times New Roman" w:hAnsi="Times New Roman" w:cs="Times New Roman"/>
          <w:sz w:val="24"/>
          <w:szCs w:val="23"/>
          <w:lang w:val="en-GB"/>
        </w:rPr>
        <w:t xml:space="preserve"> (1978); </w:t>
      </w:r>
      <w:r w:rsidRPr="00A746CB">
        <w:rPr>
          <w:rFonts w:ascii="Times New Roman" w:hAnsi="Times New Roman" w:cs="Times New Roman"/>
          <w:sz w:val="24"/>
          <w:szCs w:val="23"/>
          <w:lang w:val="en-GB"/>
        </w:rPr>
        <w:t>US Government Printing Office, Washington, DC.</w:t>
      </w:r>
    </w:p>
    <w:p w:rsidR="00025D07" w:rsidRPr="00A746CB" w:rsidRDefault="00025D07" w:rsidP="00025D07">
      <w:pPr>
        <w:pStyle w:val="Testonormale"/>
        <w:spacing w:line="240" w:lineRule="auto"/>
        <w:ind w:hanging="284"/>
        <w:jc w:val="both"/>
        <w:rPr>
          <w:rFonts w:ascii="Times New Roman" w:hAnsi="Times New Roman" w:cs="Times New Roman"/>
          <w:sz w:val="24"/>
          <w:szCs w:val="23"/>
          <w:lang w:val="en-GB"/>
        </w:rPr>
      </w:pPr>
      <w:r>
        <w:rPr>
          <w:rFonts w:ascii="Times New Roman" w:hAnsi="Times New Roman" w:cs="Times New Roman"/>
          <w:sz w:val="24"/>
          <w:szCs w:val="23"/>
          <w:lang w:val="en-GB"/>
        </w:rPr>
        <w:t xml:space="preserve">20. </w:t>
      </w:r>
      <w:r w:rsidRPr="00A746CB">
        <w:rPr>
          <w:rFonts w:ascii="Times New Roman" w:eastAsia="Times New Roman" w:hAnsi="Times New Roman" w:cs="Times New Roman"/>
          <w:bCs/>
          <w:color w:val="231F20"/>
          <w:sz w:val="24"/>
          <w:szCs w:val="23"/>
          <w:lang w:val="en-GB" w:eastAsia="en-US"/>
        </w:rPr>
        <w:t xml:space="preserve">Hilgen F., Krijgsman W., Snel E. </w:t>
      </w:r>
      <w:r>
        <w:rPr>
          <w:rFonts w:ascii="Times New Roman" w:eastAsia="Times New Roman" w:hAnsi="Times New Roman" w:cs="Times New Roman"/>
          <w:bCs/>
          <w:color w:val="231F20"/>
          <w:sz w:val="24"/>
          <w:szCs w:val="23"/>
          <w:lang w:val="en-GB" w:eastAsia="en-US"/>
        </w:rPr>
        <w:t>&amp;</w:t>
      </w:r>
      <w:r w:rsidRPr="00A746CB">
        <w:rPr>
          <w:rFonts w:ascii="Times New Roman" w:eastAsia="Times New Roman" w:hAnsi="Times New Roman" w:cs="Times New Roman"/>
          <w:bCs/>
          <w:color w:val="231F20"/>
          <w:sz w:val="24"/>
          <w:szCs w:val="23"/>
          <w:lang w:val="en-GB" w:eastAsia="en-US"/>
        </w:rPr>
        <w:t xml:space="preserve"> van der Laan</w:t>
      </w:r>
      <w:r w:rsidRPr="00A746CB">
        <w:rPr>
          <w:rFonts w:ascii="Times New Roman" w:eastAsia="Times New Roman" w:hAnsi="Times New Roman" w:cs="Times New Roman"/>
          <w:iCs/>
          <w:color w:val="231F20"/>
          <w:sz w:val="24"/>
          <w:szCs w:val="23"/>
          <w:lang w:val="en-GB" w:eastAsia="en-US"/>
        </w:rPr>
        <w:t xml:space="preserve"> </w:t>
      </w:r>
      <w:r w:rsidRPr="00A746CB">
        <w:rPr>
          <w:rFonts w:ascii="Times New Roman" w:eastAsia="Times New Roman" w:hAnsi="Times New Roman" w:cs="Times New Roman"/>
          <w:bCs/>
          <w:color w:val="231F20"/>
          <w:sz w:val="24"/>
          <w:szCs w:val="23"/>
          <w:lang w:val="en-GB" w:eastAsia="en-US"/>
        </w:rPr>
        <w:t xml:space="preserve">E., </w:t>
      </w:r>
      <w:r w:rsidRPr="00A746CB">
        <w:rPr>
          <w:rFonts w:ascii="Times New Roman" w:eastAsia="Times New Roman" w:hAnsi="Times New Roman" w:cs="Times New Roman"/>
          <w:iCs/>
          <w:color w:val="231F20"/>
          <w:sz w:val="24"/>
          <w:szCs w:val="23"/>
          <w:lang w:val="en-GB" w:eastAsia="en-US"/>
        </w:rPr>
        <w:t xml:space="preserve">2007, </w:t>
      </w:r>
      <w:r w:rsidRPr="00A746CB">
        <w:rPr>
          <w:rFonts w:ascii="Times New Roman" w:eastAsia="Times New Roman" w:hAnsi="Times New Roman" w:cs="Times New Roman"/>
          <w:bCs/>
          <w:color w:val="231F20"/>
          <w:sz w:val="24"/>
          <w:szCs w:val="23"/>
          <w:lang w:val="en-GB" w:eastAsia="en-US"/>
        </w:rPr>
        <w:t xml:space="preserve">Astronomical tuning as the basis for high resolution chronostratigraphy: the intricate history of the Messinian Salinity Crisis, </w:t>
      </w:r>
      <w:r w:rsidRPr="00A746CB">
        <w:rPr>
          <w:rFonts w:ascii="Times New Roman" w:eastAsia="Times New Roman" w:hAnsi="Times New Roman" w:cs="Times New Roman"/>
          <w:iCs/>
          <w:color w:val="231F20"/>
          <w:sz w:val="24"/>
          <w:szCs w:val="23"/>
          <w:lang w:val="en-GB" w:eastAsia="en-US"/>
        </w:rPr>
        <w:t xml:space="preserve">Stratigraphy, vol. 4, nos. 2/3, pp. 231-238. </w:t>
      </w:r>
    </w:p>
    <w:p w:rsidR="00025D07" w:rsidRDefault="00025D07" w:rsidP="00025D07">
      <w:pPr>
        <w:pStyle w:val="Testonormale"/>
        <w:spacing w:line="240" w:lineRule="auto"/>
        <w:ind w:hanging="284"/>
        <w:jc w:val="both"/>
        <w:rPr>
          <w:rFonts w:ascii="Times New Roman" w:hAnsi="Times New Roman" w:cs="Times New Roman"/>
          <w:sz w:val="24"/>
          <w:szCs w:val="23"/>
          <w:lang w:val="en-GB"/>
        </w:rPr>
      </w:pPr>
      <w:r>
        <w:rPr>
          <w:rFonts w:ascii="Times New Roman" w:hAnsi="Times New Roman" w:cs="Times New Roman"/>
          <w:sz w:val="24"/>
          <w:szCs w:val="23"/>
          <w:lang w:val="en-GB"/>
        </w:rPr>
        <w:t xml:space="preserve">21. </w:t>
      </w:r>
      <w:r w:rsidRPr="00A746CB">
        <w:rPr>
          <w:rStyle w:val="Enfasigrassetto"/>
          <w:rFonts w:ascii="Times New Roman" w:hAnsi="Times New Roman"/>
          <w:b w:val="0"/>
          <w:sz w:val="24"/>
          <w:szCs w:val="23"/>
          <w:lang w:val="en-GB"/>
        </w:rPr>
        <w:t>International Stratigraphic Chart (2009), International Commission on Stratigraphy (ICS–IUGS; www.stratigraphy.org/).</w:t>
      </w:r>
    </w:p>
    <w:p w:rsidR="00025D07" w:rsidRPr="00A746CB" w:rsidRDefault="00025D07" w:rsidP="00025D07">
      <w:pPr>
        <w:pStyle w:val="Testonormale"/>
        <w:spacing w:line="240" w:lineRule="auto"/>
        <w:ind w:hanging="284"/>
        <w:jc w:val="both"/>
        <w:rPr>
          <w:rFonts w:ascii="Times New Roman" w:eastAsia="Times New Roman" w:hAnsi="Times New Roman"/>
          <w:sz w:val="24"/>
          <w:szCs w:val="23"/>
          <w:lang w:val="en-GB" w:eastAsia="en-GB"/>
        </w:rPr>
      </w:pPr>
      <w:r>
        <w:rPr>
          <w:rFonts w:ascii="Times New Roman" w:hAnsi="Times New Roman" w:cs="Times New Roman"/>
          <w:sz w:val="24"/>
          <w:szCs w:val="23"/>
          <w:lang w:val="en-GB"/>
        </w:rPr>
        <w:t>22. “</w:t>
      </w:r>
      <w:r w:rsidRPr="00A746CB">
        <w:rPr>
          <w:rFonts w:ascii="Times New Roman" w:eastAsia="Times New Roman" w:hAnsi="Times New Roman"/>
          <w:sz w:val="24"/>
          <w:szCs w:val="23"/>
          <w:lang w:val="en-GB" w:eastAsia="en-GB"/>
        </w:rPr>
        <w:t>Moeller</w:t>
      </w:r>
      <w:r>
        <w:rPr>
          <w:rFonts w:ascii="Times New Roman" w:eastAsia="Times New Roman" w:hAnsi="Times New Roman"/>
          <w:sz w:val="24"/>
          <w:szCs w:val="23"/>
          <w:lang w:val="en-GB" w:eastAsia="en-GB"/>
        </w:rPr>
        <w:t>,</w:t>
      </w:r>
      <w:r w:rsidRPr="00A746CB">
        <w:rPr>
          <w:rFonts w:ascii="Times New Roman" w:eastAsia="Times New Roman" w:hAnsi="Times New Roman"/>
          <w:bCs/>
          <w:sz w:val="24"/>
          <w:szCs w:val="23"/>
          <w:lang w:val="en-GB" w:eastAsia="en-GB"/>
        </w:rPr>
        <w:t xml:space="preserve"> S.</w:t>
      </w:r>
      <w:r>
        <w:rPr>
          <w:rFonts w:ascii="Times New Roman" w:eastAsia="Times New Roman" w:hAnsi="Times New Roman"/>
          <w:bCs/>
          <w:sz w:val="24"/>
          <w:szCs w:val="23"/>
          <w:lang w:val="en-GB" w:eastAsia="en-GB"/>
        </w:rPr>
        <w:t xml:space="preserve"> et al.”</w:t>
      </w:r>
      <w:r w:rsidRPr="00A746CB">
        <w:rPr>
          <w:rFonts w:ascii="Times New Roman" w:eastAsia="Times New Roman" w:hAnsi="Times New Roman"/>
          <w:bCs/>
          <w:sz w:val="24"/>
          <w:szCs w:val="23"/>
          <w:lang w:val="en-GB" w:eastAsia="en-GB"/>
        </w:rPr>
        <w:t xml:space="preserve"> Early-stage rifting of the northern Tyrrhenian Sea Basin: Results from a combined wide-angle and multichannel seismic study. Geochemistry, Geophysics, Geosystems, 14/8, 3032-3052</w:t>
      </w:r>
      <w:r>
        <w:rPr>
          <w:rFonts w:ascii="Times New Roman" w:eastAsia="Times New Roman" w:hAnsi="Times New Roman"/>
          <w:bCs/>
          <w:sz w:val="24"/>
          <w:szCs w:val="23"/>
          <w:lang w:val="en-GB" w:eastAsia="en-GB"/>
        </w:rPr>
        <w:t xml:space="preserve"> </w:t>
      </w:r>
      <w:r w:rsidRPr="00A746CB">
        <w:rPr>
          <w:rFonts w:ascii="Times New Roman" w:eastAsia="Times New Roman" w:hAnsi="Times New Roman"/>
          <w:sz w:val="24"/>
          <w:szCs w:val="23"/>
          <w:lang w:val="en-GB" w:eastAsia="en-GB"/>
        </w:rPr>
        <w:t>(2013).</w:t>
      </w:r>
      <w:r w:rsidRPr="00A746CB">
        <w:rPr>
          <w:rFonts w:ascii="Times New Roman" w:eastAsia="Times New Roman" w:hAnsi="Times New Roman"/>
          <w:bCs/>
          <w:sz w:val="24"/>
          <w:szCs w:val="23"/>
          <w:lang w:val="en-GB" w:eastAsia="en-GB"/>
        </w:rPr>
        <w:t xml:space="preserve"> </w:t>
      </w:r>
      <w:r w:rsidRPr="00A746CB">
        <w:rPr>
          <w:rFonts w:ascii="Times New Roman" w:eastAsia="Times New Roman" w:hAnsi="Times New Roman"/>
          <w:sz w:val="24"/>
          <w:szCs w:val="23"/>
          <w:lang w:val="en-GB" w:eastAsia="en-GB"/>
        </w:rPr>
        <w:t>DOI:10.1002/ggge.20180</w:t>
      </w:r>
    </w:p>
    <w:p w:rsidR="00025D07" w:rsidRDefault="00025D07" w:rsidP="00025D07">
      <w:pPr>
        <w:pStyle w:val="Testonormale"/>
        <w:spacing w:line="240" w:lineRule="auto"/>
        <w:ind w:hanging="284"/>
        <w:jc w:val="both"/>
        <w:rPr>
          <w:rFonts w:ascii="Times New Roman" w:hAnsi="Times New Roman" w:cs="Times New Roman"/>
          <w:sz w:val="24"/>
          <w:szCs w:val="23"/>
          <w:lang w:val="en-GB"/>
        </w:rPr>
      </w:pPr>
      <w:r>
        <w:rPr>
          <w:rFonts w:ascii="Times New Roman" w:hAnsi="Times New Roman" w:cs="Times New Roman"/>
          <w:sz w:val="24"/>
          <w:szCs w:val="23"/>
          <w:lang w:val="en-GB"/>
        </w:rPr>
        <w:t xml:space="preserve">23. </w:t>
      </w:r>
      <w:r w:rsidRPr="00A746CB">
        <w:rPr>
          <w:rFonts w:ascii="Times New Roman" w:hAnsi="Times New Roman" w:cs="Times New Roman"/>
          <w:sz w:val="24"/>
          <w:szCs w:val="23"/>
          <w:lang w:val="en-GB"/>
        </w:rPr>
        <w:t>Manatschal</w:t>
      </w:r>
      <w:r>
        <w:rPr>
          <w:rFonts w:ascii="Times New Roman" w:hAnsi="Times New Roman" w:cs="Times New Roman"/>
          <w:sz w:val="24"/>
          <w:szCs w:val="23"/>
          <w:lang w:val="en-GB"/>
        </w:rPr>
        <w:t>,</w:t>
      </w:r>
      <w:r w:rsidRPr="00A746CB">
        <w:rPr>
          <w:rFonts w:ascii="Times New Roman" w:hAnsi="Times New Roman" w:cs="Times New Roman"/>
          <w:sz w:val="24"/>
          <w:szCs w:val="23"/>
          <w:lang w:val="en-GB"/>
        </w:rPr>
        <w:t xml:space="preserve"> G. New models for evolution of magma-poor rifted margins based on a review of data and concepts from West Iberia and the Alps. </w:t>
      </w:r>
      <w:r w:rsidRPr="001D0A5B">
        <w:rPr>
          <w:rFonts w:ascii="Times New Roman" w:hAnsi="Times New Roman" w:cs="Times New Roman"/>
          <w:i/>
          <w:sz w:val="24"/>
          <w:szCs w:val="23"/>
          <w:lang w:val="en-GB"/>
        </w:rPr>
        <w:t>Int J Earth Sci (Geol Rundsch), 93/3</w:t>
      </w:r>
      <w:r w:rsidRPr="001D0A5B">
        <w:rPr>
          <w:rFonts w:ascii="Times New Roman" w:hAnsi="Times New Roman" w:cs="Times New Roman"/>
          <w:sz w:val="24"/>
          <w:szCs w:val="23"/>
          <w:lang w:val="en-GB"/>
        </w:rPr>
        <w:t>, 432–466</w:t>
      </w:r>
      <w:r>
        <w:rPr>
          <w:rFonts w:ascii="Times New Roman" w:hAnsi="Times New Roman" w:cs="Times New Roman"/>
          <w:sz w:val="24"/>
          <w:szCs w:val="23"/>
          <w:lang w:val="en-GB"/>
        </w:rPr>
        <w:t xml:space="preserve"> </w:t>
      </w:r>
      <w:r w:rsidRPr="00A746CB">
        <w:rPr>
          <w:rFonts w:ascii="Times New Roman" w:hAnsi="Times New Roman" w:cs="Times New Roman"/>
          <w:sz w:val="24"/>
          <w:szCs w:val="23"/>
          <w:lang w:val="en-GB"/>
        </w:rPr>
        <w:t>(2004)</w:t>
      </w:r>
      <w:r w:rsidRPr="001D0A5B">
        <w:rPr>
          <w:rFonts w:ascii="Times New Roman" w:hAnsi="Times New Roman" w:cs="Times New Roman"/>
          <w:sz w:val="24"/>
          <w:szCs w:val="23"/>
          <w:lang w:val="en-GB"/>
        </w:rPr>
        <w:t>. DOI 10.1007/s00531-004-0394-7</w:t>
      </w:r>
    </w:p>
    <w:p w:rsidR="00025D07" w:rsidRPr="00817EA3" w:rsidRDefault="00025D07" w:rsidP="00025D07">
      <w:pPr>
        <w:pStyle w:val="Testonormale"/>
        <w:spacing w:line="240" w:lineRule="auto"/>
        <w:ind w:hanging="284"/>
        <w:jc w:val="both"/>
        <w:rPr>
          <w:rFonts w:ascii="Times New Roman" w:hAnsi="Times New Roman" w:cs="Times New Roman"/>
          <w:color w:val="000000"/>
          <w:sz w:val="23"/>
          <w:szCs w:val="23"/>
          <w:lang w:val="en-GB"/>
        </w:rPr>
      </w:pPr>
      <w:r>
        <w:rPr>
          <w:rFonts w:ascii="Times New Roman" w:hAnsi="Times New Roman" w:cs="Times New Roman"/>
          <w:sz w:val="24"/>
          <w:szCs w:val="23"/>
          <w:lang w:val="en-GB"/>
        </w:rPr>
        <w:t xml:space="preserve">24. </w:t>
      </w:r>
      <w:r w:rsidRPr="00817EA3">
        <w:rPr>
          <w:rFonts w:ascii="Times New Roman" w:hAnsi="Times New Roman" w:cs="Times New Roman"/>
          <w:color w:val="000000"/>
          <w:sz w:val="23"/>
          <w:szCs w:val="23"/>
          <w:lang w:val="en-GB"/>
        </w:rPr>
        <w:t xml:space="preserve">Duggen S., Hoernle K., van den Bogaard P., Harris C. (2004), Magmatic evolution of the Alboran region: The role of subduction in forming the western Mediterranean and causing the Messinian Salinity Crisis, </w:t>
      </w:r>
      <w:r w:rsidRPr="00817EA3">
        <w:rPr>
          <w:rFonts w:ascii="Times New Roman" w:hAnsi="Times New Roman" w:cs="Times New Roman"/>
          <w:i/>
          <w:iCs/>
          <w:color w:val="231F20"/>
          <w:sz w:val="23"/>
          <w:szCs w:val="23"/>
          <w:lang w:val="en-GB"/>
        </w:rPr>
        <w:t>Earth Planet. Scie. Lett.</w:t>
      </w:r>
      <w:r w:rsidRPr="00817EA3">
        <w:rPr>
          <w:rFonts w:ascii="Times New Roman" w:hAnsi="Times New Roman" w:cs="Times New Roman"/>
          <w:i/>
          <w:color w:val="000000"/>
          <w:sz w:val="23"/>
          <w:szCs w:val="23"/>
          <w:lang w:val="en-GB"/>
        </w:rPr>
        <w:t xml:space="preserve"> 218</w:t>
      </w:r>
      <w:r w:rsidRPr="00817EA3">
        <w:rPr>
          <w:rFonts w:ascii="Times New Roman" w:hAnsi="Times New Roman" w:cs="Times New Roman"/>
          <w:color w:val="000000"/>
          <w:sz w:val="23"/>
          <w:szCs w:val="23"/>
          <w:lang w:val="en-GB"/>
        </w:rPr>
        <w:t>, 91-108.</w:t>
      </w:r>
      <w:r>
        <w:rPr>
          <w:rFonts w:ascii="Times New Roman" w:hAnsi="Times New Roman" w:cs="Times New Roman"/>
          <w:color w:val="000000"/>
          <w:sz w:val="23"/>
          <w:szCs w:val="23"/>
          <w:lang w:val="en-GB"/>
        </w:rPr>
        <w:t xml:space="preserve"> </w:t>
      </w:r>
    </w:p>
    <w:p w:rsidR="00025D07" w:rsidRPr="00817EA3" w:rsidRDefault="00025D07" w:rsidP="00025D07">
      <w:pPr>
        <w:pStyle w:val="Testonormale"/>
        <w:spacing w:line="240" w:lineRule="auto"/>
        <w:ind w:hanging="284"/>
        <w:jc w:val="both"/>
        <w:rPr>
          <w:rFonts w:ascii="Times New Roman" w:hAnsi="Times New Roman" w:cs="Times New Roman"/>
          <w:sz w:val="23"/>
          <w:szCs w:val="23"/>
          <w:lang w:val="en-GB"/>
        </w:rPr>
      </w:pPr>
      <w:r>
        <w:rPr>
          <w:rFonts w:ascii="Times New Roman" w:hAnsi="Times New Roman" w:cs="Times New Roman"/>
          <w:sz w:val="24"/>
          <w:szCs w:val="23"/>
          <w:lang w:val="en-GB"/>
        </w:rPr>
        <w:t>25. “</w:t>
      </w:r>
      <w:r w:rsidRPr="00817EA3">
        <w:rPr>
          <w:rFonts w:ascii="Times New Roman" w:hAnsi="Times New Roman" w:cs="Times New Roman"/>
          <w:sz w:val="23"/>
          <w:szCs w:val="23"/>
          <w:lang w:val="en-GB"/>
        </w:rPr>
        <w:t>Turner</w:t>
      </w:r>
      <w:r>
        <w:rPr>
          <w:rFonts w:ascii="Times New Roman" w:hAnsi="Times New Roman" w:cs="Times New Roman"/>
          <w:sz w:val="23"/>
          <w:szCs w:val="23"/>
          <w:lang w:val="en-GB"/>
        </w:rPr>
        <w:t>,</w:t>
      </w:r>
      <w:r w:rsidRPr="00817EA3">
        <w:rPr>
          <w:rFonts w:ascii="Times New Roman" w:hAnsi="Times New Roman" w:cs="Times New Roman"/>
          <w:sz w:val="23"/>
          <w:szCs w:val="23"/>
          <w:lang w:val="en-GB"/>
        </w:rPr>
        <w:t xml:space="preserve"> S.P.</w:t>
      </w:r>
      <w:r>
        <w:rPr>
          <w:rFonts w:ascii="Times New Roman" w:hAnsi="Times New Roman" w:cs="Times New Roman"/>
          <w:sz w:val="23"/>
          <w:szCs w:val="23"/>
          <w:lang w:val="en-GB"/>
        </w:rPr>
        <w:t xml:space="preserve"> et al.</w:t>
      </w:r>
      <w:r w:rsidRPr="00817EA3">
        <w:rPr>
          <w:rFonts w:ascii="Times New Roman" w:hAnsi="Times New Roman" w:cs="Times New Roman"/>
          <w:sz w:val="23"/>
          <w:szCs w:val="23"/>
          <w:lang w:val="en-GB"/>
        </w:rPr>
        <w:t xml:space="preserve"> Magmatism associated with orogenic collapse of the Betic-Alboran Domain, SE Spain, </w:t>
      </w:r>
      <w:r w:rsidRPr="00817EA3">
        <w:rPr>
          <w:rFonts w:ascii="Times New Roman" w:hAnsi="Times New Roman" w:cs="Times New Roman"/>
          <w:i/>
          <w:iCs/>
          <w:sz w:val="23"/>
          <w:szCs w:val="23"/>
          <w:lang w:val="en-GB"/>
        </w:rPr>
        <w:t>J. Petrol. 40,</w:t>
      </w:r>
      <w:r w:rsidRPr="00817EA3">
        <w:rPr>
          <w:rFonts w:ascii="Times New Roman" w:hAnsi="Times New Roman" w:cs="Times New Roman"/>
          <w:sz w:val="23"/>
          <w:szCs w:val="23"/>
          <w:lang w:val="en-GB"/>
        </w:rPr>
        <w:t xml:space="preserve"> 1011 </w:t>
      </w:r>
      <w:r>
        <w:rPr>
          <w:rFonts w:ascii="Times New Roman" w:hAnsi="Times New Roman" w:cs="Times New Roman"/>
          <w:sz w:val="23"/>
          <w:szCs w:val="23"/>
          <w:lang w:val="en-GB"/>
        </w:rPr>
        <w:t>–</w:t>
      </w:r>
      <w:r w:rsidRPr="00817EA3">
        <w:rPr>
          <w:rFonts w:ascii="Times New Roman" w:hAnsi="Times New Roman" w:cs="Times New Roman"/>
          <w:sz w:val="23"/>
          <w:szCs w:val="23"/>
          <w:lang w:val="en-GB"/>
        </w:rPr>
        <w:t xml:space="preserve"> 1036</w:t>
      </w:r>
      <w:r>
        <w:rPr>
          <w:rFonts w:ascii="Times New Roman" w:hAnsi="Times New Roman" w:cs="Times New Roman"/>
          <w:sz w:val="23"/>
          <w:szCs w:val="23"/>
          <w:lang w:val="en-GB"/>
        </w:rPr>
        <w:t xml:space="preserve"> (1999)</w:t>
      </w:r>
      <w:r w:rsidRPr="00817EA3">
        <w:rPr>
          <w:rFonts w:ascii="Times New Roman" w:hAnsi="Times New Roman" w:cs="Times New Roman"/>
          <w:sz w:val="23"/>
          <w:szCs w:val="23"/>
          <w:lang w:val="en-GB"/>
        </w:rPr>
        <w:t>.</w:t>
      </w:r>
      <w:r>
        <w:rPr>
          <w:rFonts w:ascii="Times New Roman" w:hAnsi="Times New Roman" w:cs="Times New Roman"/>
          <w:sz w:val="23"/>
          <w:szCs w:val="23"/>
          <w:lang w:val="en-GB"/>
        </w:rPr>
        <w:t xml:space="preserve"> </w:t>
      </w:r>
    </w:p>
    <w:p w:rsidR="00025D07" w:rsidRDefault="00025D07" w:rsidP="00025D07">
      <w:pPr>
        <w:pStyle w:val="Testonormale"/>
        <w:spacing w:line="240" w:lineRule="auto"/>
        <w:ind w:hanging="284"/>
        <w:jc w:val="both"/>
        <w:rPr>
          <w:rFonts w:ascii="Times New Roman" w:hAnsi="Times New Roman" w:cs="Times New Roman"/>
          <w:sz w:val="23"/>
          <w:szCs w:val="23"/>
          <w:lang w:val="en-GB"/>
        </w:rPr>
      </w:pPr>
      <w:r>
        <w:rPr>
          <w:rFonts w:ascii="Times New Roman" w:hAnsi="Times New Roman" w:cs="Times New Roman"/>
          <w:sz w:val="23"/>
          <w:szCs w:val="23"/>
          <w:lang w:val="en-GB"/>
        </w:rPr>
        <w:t xml:space="preserve">26. </w:t>
      </w:r>
      <w:r w:rsidRPr="00817EA3">
        <w:rPr>
          <w:rFonts w:ascii="Times New Roman" w:hAnsi="Times New Roman" w:cs="Times New Roman"/>
          <w:sz w:val="23"/>
          <w:szCs w:val="23"/>
          <w:lang w:val="en-GB"/>
        </w:rPr>
        <w:t xml:space="preserve">Bellon H., Bordet P., and C. Montenat Chronologie du magmatisme neogene des Cordilleres betiques (Espagna meridionale), </w:t>
      </w:r>
      <w:r w:rsidRPr="00817EA3">
        <w:rPr>
          <w:rFonts w:ascii="Times New Roman" w:hAnsi="Times New Roman" w:cs="Times New Roman"/>
          <w:i/>
          <w:iCs/>
          <w:sz w:val="23"/>
          <w:szCs w:val="23"/>
          <w:lang w:val="en-GB"/>
        </w:rPr>
        <w:t xml:space="preserve">Bulletin Societe’ Geologique de France, </w:t>
      </w:r>
      <w:r w:rsidRPr="00817EA3">
        <w:rPr>
          <w:rFonts w:ascii="Times New Roman" w:hAnsi="Times New Roman" w:cs="Times New Roman"/>
          <w:bCs/>
          <w:i/>
          <w:sz w:val="23"/>
          <w:szCs w:val="23"/>
          <w:lang w:val="en-GB"/>
        </w:rPr>
        <w:t>25</w:t>
      </w:r>
      <w:r w:rsidRPr="00817EA3">
        <w:rPr>
          <w:rFonts w:ascii="Times New Roman" w:hAnsi="Times New Roman" w:cs="Times New Roman"/>
          <w:bCs/>
          <w:sz w:val="23"/>
          <w:szCs w:val="23"/>
          <w:lang w:val="en-GB"/>
        </w:rPr>
        <w:t>,</w:t>
      </w:r>
      <w:r w:rsidRPr="00817EA3">
        <w:rPr>
          <w:rFonts w:ascii="Times New Roman" w:hAnsi="Times New Roman" w:cs="Times New Roman"/>
          <w:sz w:val="23"/>
          <w:szCs w:val="23"/>
          <w:lang w:val="en-GB"/>
        </w:rPr>
        <w:t xml:space="preserve"> 205-217</w:t>
      </w:r>
      <w:r w:rsidRPr="00224394">
        <w:rPr>
          <w:rFonts w:ascii="Times New Roman" w:hAnsi="Times New Roman" w:cs="Times New Roman"/>
          <w:sz w:val="23"/>
          <w:szCs w:val="23"/>
          <w:lang w:val="en-GB"/>
        </w:rPr>
        <w:t xml:space="preserve"> </w:t>
      </w:r>
      <w:r w:rsidRPr="00817EA3">
        <w:rPr>
          <w:rFonts w:ascii="Times New Roman" w:hAnsi="Times New Roman" w:cs="Times New Roman"/>
          <w:sz w:val="23"/>
          <w:szCs w:val="23"/>
          <w:lang w:val="en-GB"/>
        </w:rPr>
        <w:t>(1983)</w:t>
      </w:r>
      <w:r>
        <w:rPr>
          <w:rFonts w:ascii="Times New Roman" w:hAnsi="Times New Roman" w:cs="Times New Roman"/>
          <w:sz w:val="23"/>
          <w:szCs w:val="23"/>
          <w:lang w:val="en-GB"/>
        </w:rPr>
        <w:t>.</w:t>
      </w:r>
    </w:p>
    <w:p w:rsidR="00025D07" w:rsidRDefault="00025D07" w:rsidP="00025D07">
      <w:pPr>
        <w:pStyle w:val="Testonormale"/>
        <w:spacing w:line="240" w:lineRule="auto"/>
        <w:ind w:hanging="284"/>
        <w:jc w:val="both"/>
        <w:rPr>
          <w:rFonts w:ascii="Times New Roman" w:hAnsi="Times New Roman" w:cs="Times New Roman"/>
          <w:bCs/>
          <w:sz w:val="24"/>
          <w:szCs w:val="23"/>
          <w:lang w:val="en-GB"/>
        </w:rPr>
      </w:pPr>
      <w:r>
        <w:rPr>
          <w:rFonts w:ascii="Times New Roman" w:hAnsi="Times New Roman" w:cs="Times New Roman"/>
          <w:sz w:val="23"/>
          <w:szCs w:val="23"/>
          <w:lang w:val="en-GB"/>
        </w:rPr>
        <w:lastRenderedPageBreak/>
        <w:t xml:space="preserve">27. </w:t>
      </w:r>
      <w:r w:rsidRPr="00A746CB">
        <w:rPr>
          <w:rFonts w:ascii="Times New Roman" w:hAnsi="Times New Roman" w:cs="Times New Roman"/>
          <w:bCs/>
          <w:sz w:val="24"/>
          <w:szCs w:val="23"/>
          <w:lang w:val="en-GB"/>
        </w:rPr>
        <w:t>Zeck H.P., Albat F., Hansen B.T., Torres-Roldan R.L</w:t>
      </w:r>
      <w:r>
        <w:rPr>
          <w:rFonts w:ascii="Times New Roman" w:hAnsi="Times New Roman" w:cs="Times New Roman"/>
          <w:bCs/>
          <w:sz w:val="24"/>
          <w:szCs w:val="23"/>
          <w:lang w:val="en-GB"/>
        </w:rPr>
        <w:t>. &amp;</w:t>
      </w:r>
      <w:r w:rsidRPr="00A746CB">
        <w:rPr>
          <w:rFonts w:ascii="Times New Roman" w:hAnsi="Times New Roman" w:cs="Times New Roman"/>
          <w:bCs/>
          <w:sz w:val="24"/>
          <w:szCs w:val="23"/>
          <w:lang w:val="en-GB"/>
        </w:rPr>
        <w:t xml:space="preserve"> Garcia-Casco, A. </w:t>
      </w:r>
      <w:r w:rsidRPr="00A746CB">
        <w:rPr>
          <w:rFonts w:ascii="Times New Roman" w:hAnsi="Times New Roman" w:cs="Times New Roman"/>
          <w:sz w:val="24"/>
          <w:szCs w:val="23"/>
          <w:lang w:val="en-GB"/>
        </w:rPr>
        <w:t xml:space="preserve">Alpine tourmaline-bearing muscovite leucogranites, intrusion age and petrogenesis, Betic cordilleras, SE Spain. </w:t>
      </w:r>
      <w:r w:rsidRPr="00A746CB">
        <w:rPr>
          <w:rFonts w:ascii="Times New Roman" w:hAnsi="Times New Roman" w:cs="Times New Roman"/>
          <w:bCs/>
          <w:sz w:val="24"/>
          <w:szCs w:val="23"/>
          <w:lang w:val="en-GB"/>
        </w:rPr>
        <w:t>Neues Jahrbuch Mineralogie, 11,</w:t>
      </w:r>
      <w:r w:rsidRPr="00A746CB">
        <w:rPr>
          <w:rFonts w:ascii="Times New Roman" w:hAnsi="Times New Roman" w:cs="Times New Roman"/>
          <w:b/>
          <w:bCs/>
          <w:sz w:val="24"/>
          <w:szCs w:val="23"/>
          <w:lang w:val="en-GB"/>
        </w:rPr>
        <w:t xml:space="preserve"> </w:t>
      </w:r>
      <w:r w:rsidRPr="00A746CB">
        <w:rPr>
          <w:rFonts w:ascii="Times New Roman" w:hAnsi="Times New Roman" w:cs="Times New Roman"/>
          <w:bCs/>
          <w:sz w:val="24"/>
          <w:szCs w:val="23"/>
          <w:lang w:val="en-GB"/>
        </w:rPr>
        <w:t>513-520</w:t>
      </w:r>
      <w:r>
        <w:rPr>
          <w:rFonts w:ascii="Times New Roman" w:hAnsi="Times New Roman" w:cs="Times New Roman"/>
          <w:bCs/>
          <w:sz w:val="24"/>
          <w:szCs w:val="23"/>
          <w:lang w:val="en-GB"/>
        </w:rPr>
        <w:t xml:space="preserve"> (</w:t>
      </w:r>
      <w:r w:rsidRPr="00A746CB">
        <w:rPr>
          <w:rFonts w:ascii="Times New Roman" w:hAnsi="Times New Roman" w:cs="Times New Roman"/>
          <w:bCs/>
          <w:sz w:val="24"/>
          <w:szCs w:val="23"/>
          <w:lang w:val="en-GB"/>
        </w:rPr>
        <w:t>1989</w:t>
      </w:r>
      <w:r>
        <w:rPr>
          <w:rFonts w:ascii="Times New Roman" w:hAnsi="Times New Roman" w:cs="Times New Roman"/>
          <w:bCs/>
          <w:sz w:val="24"/>
          <w:szCs w:val="23"/>
          <w:lang w:val="en-GB"/>
        </w:rPr>
        <w:t>)</w:t>
      </w:r>
      <w:r w:rsidRPr="00A746CB">
        <w:rPr>
          <w:rFonts w:ascii="Times New Roman" w:hAnsi="Times New Roman" w:cs="Times New Roman"/>
          <w:bCs/>
          <w:sz w:val="24"/>
          <w:szCs w:val="23"/>
          <w:lang w:val="en-GB"/>
        </w:rPr>
        <w:t>.</w:t>
      </w:r>
    </w:p>
    <w:p w:rsidR="00025D07" w:rsidRPr="00752427" w:rsidRDefault="005D566C" w:rsidP="005D566C">
      <w:pPr>
        <w:pStyle w:val="Testonormale"/>
        <w:spacing w:line="240" w:lineRule="auto"/>
        <w:ind w:hanging="284"/>
        <w:jc w:val="both"/>
        <w:rPr>
          <w:rFonts w:ascii="Times New Roman" w:hAnsi="Times New Roman" w:cs="Times New Roman"/>
          <w:sz w:val="24"/>
          <w:szCs w:val="23"/>
          <w:lang w:val="en-GB"/>
        </w:rPr>
      </w:pPr>
      <w:r w:rsidRPr="00752427">
        <w:rPr>
          <w:rFonts w:ascii="Times New Roman" w:hAnsi="Times New Roman" w:cs="Times New Roman"/>
          <w:sz w:val="24"/>
          <w:szCs w:val="23"/>
          <w:lang w:val="en-GB"/>
        </w:rPr>
        <w:t>2</w:t>
      </w:r>
      <w:r w:rsidR="00E70553">
        <w:rPr>
          <w:rFonts w:ascii="Times New Roman" w:hAnsi="Times New Roman" w:cs="Times New Roman"/>
          <w:sz w:val="24"/>
          <w:szCs w:val="23"/>
          <w:lang w:val="en-GB"/>
        </w:rPr>
        <w:t>8</w:t>
      </w:r>
      <w:r w:rsidR="00025D07" w:rsidRPr="00752427">
        <w:rPr>
          <w:rFonts w:ascii="Times New Roman" w:hAnsi="Times New Roman" w:cs="Times New Roman"/>
          <w:sz w:val="24"/>
          <w:szCs w:val="23"/>
          <w:lang w:val="en-GB"/>
        </w:rPr>
        <w:t xml:space="preserve">. Dal Piaz G.V., Venturelli G. &amp; Scolari A. Calcalkaline to ultrapotassic postcollisional volcanic activity in the internal Northwestern Alps, </w:t>
      </w:r>
      <w:r w:rsidR="00025D07" w:rsidRPr="00752427">
        <w:rPr>
          <w:rFonts w:ascii="Times New Roman" w:hAnsi="Times New Roman" w:cs="Times New Roman"/>
          <w:i/>
          <w:sz w:val="24"/>
          <w:szCs w:val="23"/>
          <w:lang w:val="en-GB"/>
        </w:rPr>
        <w:t xml:space="preserve">Mem. Ist. </w:t>
      </w:r>
      <w:r w:rsidR="00025D07" w:rsidRPr="00025D07">
        <w:rPr>
          <w:rFonts w:ascii="Times New Roman" w:hAnsi="Times New Roman" w:cs="Times New Roman"/>
          <w:i/>
          <w:sz w:val="24"/>
          <w:szCs w:val="23"/>
          <w:lang w:val="en-GB"/>
        </w:rPr>
        <w:t>Geol. Univ. Padova, 32</w:t>
      </w:r>
      <w:r w:rsidR="00025D07" w:rsidRPr="00025D07">
        <w:rPr>
          <w:rFonts w:ascii="Times New Roman" w:hAnsi="Times New Roman" w:cs="Times New Roman"/>
          <w:sz w:val="24"/>
          <w:szCs w:val="23"/>
          <w:lang w:val="en-GB"/>
        </w:rPr>
        <w:t>, 1-16 (1979).</w:t>
      </w:r>
    </w:p>
    <w:p w:rsidR="00025D07" w:rsidRDefault="00FC1093" w:rsidP="00025D07">
      <w:pPr>
        <w:pStyle w:val="Testonormale"/>
        <w:spacing w:line="240" w:lineRule="auto"/>
        <w:ind w:hanging="284"/>
        <w:jc w:val="both"/>
        <w:rPr>
          <w:rFonts w:ascii="Times New Roman" w:eastAsia="Times New Roman" w:hAnsi="Times New Roman" w:cs="Times New Roman"/>
          <w:sz w:val="24"/>
          <w:szCs w:val="23"/>
          <w:lang w:val="en-GB" w:eastAsia="en-US"/>
        </w:rPr>
      </w:pPr>
      <w:r>
        <w:rPr>
          <w:rFonts w:ascii="Times New Roman" w:hAnsi="Times New Roman" w:cs="Times New Roman"/>
          <w:sz w:val="24"/>
          <w:szCs w:val="23"/>
          <w:lang w:val="en-GB"/>
        </w:rPr>
        <w:t>2</w:t>
      </w:r>
      <w:r w:rsidR="00E70553">
        <w:rPr>
          <w:rFonts w:ascii="Times New Roman" w:hAnsi="Times New Roman" w:cs="Times New Roman"/>
          <w:sz w:val="24"/>
          <w:szCs w:val="23"/>
          <w:lang w:val="en-GB"/>
        </w:rPr>
        <w:t>9</w:t>
      </w:r>
      <w:r w:rsidR="00025D07" w:rsidRPr="00BF6ED4">
        <w:rPr>
          <w:rFonts w:ascii="Times New Roman" w:hAnsi="Times New Roman" w:cs="Times New Roman"/>
          <w:sz w:val="24"/>
          <w:szCs w:val="23"/>
          <w:lang w:val="en-GB"/>
        </w:rPr>
        <w:t xml:space="preserve">. </w:t>
      </w:r>
      <w:r w:rsidR="00025D07" w:rsidRPr="00A746CB">
        <w:rPr>
          <w:rFonts w:ascii="Times New Roman" w:eastAsia="Times New Roman" w:hAnsi="Times New Roman" w:cs="Times New Roman"/>
          <w:sz w:val="24"/>
          <w:szCs w:val="23"/>
          <w:lang w:val="en-GB" w:eastAsia="en-US"/>
        </w:rPr>
        <w:t xml:space="preserve">Beltrando, M., Lister, G. </w:t>
      </w:r>
      <w:r w:rsidR="00025D07">
        <w:rPr>
          <w:rFonts w:ascii="Times New Roman" w:eastAsia="Times New Roman" w:hAnsi="Times New Roman" w:cs="Times New Roman"/>
          <w:sz w:val="24"/>
          <w:szCs w:val="23"/>
          <w:lang w:val="en-GB" w:eastAsia="en-US"/>
        </w:rPr>
        <w:t>S, .Rosenbaum, G., Richards, S. &amp; Forster, M. A.</w:t>
      </w:r>
      <w:r w:rsidR="00025D07" w:rsidRPr="00A746CB">
        <w:rPr>
          <w:rFonts w:ascii="Times New Roman" w:eastAsia="Times New Roman" w:hAnsi="Times New Roman" w:cs="Times New Roman"/>
          <w:sz w:val="24"/>
          <w:szCs w:val="23"/>
          <w:lang w:val="en-GB" w:eastAsia="en-US"/>
        </w:rPr>
        <w:t xml:space="preserve"> Recognizing episodic lithospheric thinning along a convergent plate margin: The example of the Early Oligocene Alps. Earth-Science Reviews </w:t>
      </w:r>
      <w:r w:rsidR="00025D07" w:rsidRPr="00BF6ED4">
        <w:rPr>
          <w:rFonts w:ascii="Times New Roman" w:eastAsia="Times New Roman" w:hAnsi="Times New Roman" w:cs="Times New Roman"/>
          <w:b/>
          <w:sz w:val="24"/>
          <w:szCs w:val="23"/>
          <w:lang w:val="en-GB" w:eastAsia="en-US"/>
        </w:rPr>
        <w:t>103</w:t>
      </w:r>
      <w:r w:rsidR="00025D07" w:rsidRPr="00A746CB">
        <w:rPr>
          <w:rFonts w:ascii="Times New Roman" w:eastAsia="Times New Roman" w:hAnsi="Times New Roman" w:cs="Times New Roman"/>
          <w:sz w:val="24"/>
          <w:szCs w:val="23"/>
          <w:lang w:val="en-GB" w:eastAsia="en-US"/>
        </w:rPr>
        <w:t>, 81-98</w:t>
      </w:r>
      <w:r w:rsidR="00025D07">
        <w:rPr>
          <w:rFonts w:ascii="Times New Roman" w:eastAsia="Times New Roman" w:hAnsi="Times New Roman" w:cs="Times New Roman"/>
          <w:sz w:val="24"/>
          <w:szCs w:val="23"/>
          <w:lang w:val="en-GB" w:eastAsia="en-US"/>
        </w:rPr>
        <w:t xml:space="preserve"> (</w:t>
      </w:r>
      <w:r w:rsidR="00025D07" w:rsidRPr="00A746CB">
        <w:rPr>
          <w:rFonts w:ascii="Times New Roman" w:eastAsia="Times New Roman" w:hAnsi="Times New Roman" w:cs="Times New Roman"/>
          <w:sz w:val="24"/>
          <w:szCs w:val="23"/>
          <w:lang w:val="en-GB" w:eastAsia="en-US"/>
        </w:rPr>
        <w:t>2010</w:t>
      </w:r>
      <w:r w:rsidR="00025D07">
        <w:rPr>
          <w:rFonts w:ascii="Times New Roman" w:eastAsia="Times New Roman" w:hAnsi="Times New Roman" w:cs="Times New Roman"/>
          <w:sz w:val="24"/>
          <w:szCs w:val="23"/>
          <w:lang w:val="en-GB" w:eastAsia="en-US"/>
        </w:rPr>
        <w:t>)</w:t>
      </w:r>
      <w:r w:rsidR="00025D07" w:rsidRPr="00A746CB">
        <w:rPr>
          <w:rFonts w:ascii="Times New Roman" w:eastAsia="Times New Roman" w:hAnsi="Times New Roman" w:cs="Times New Roman"/>
          <w:sz w:val="24"/>
          <w:szCs w:val="23"/>
          <w:lang w:val="en-GB" w:eastAsia="en-US"/>
        </w:rPr>
        <w:t>.</w:t>
      </w:r>
    </w:p>
    <w:p w:rsidR="00564975" w:rsidRDefault="00E70553" w:rsidP="00025D07">
      <w:pPr>
        <w:spacing w:line="240" w:lineRule="auto"/>
        <w:ind w:hanging="284"/>
        <w:rPr>
          <w:sz w:val="23"/>
          <w:szCs w:val="23"/>
        </w:rPr>
      </w:pPr>
      <w:r>
        <w:rPr>
          <w:rFonts w:eastAsia="Times New Roman"/>
          <w:szCs w:val="23"/>
          <w:lang w:eastAsia="en-US"/>
        </w:rPr>
        <w:t>30</w:t>
      </w:r>
      <w:r w:rsidR="00025D07">
        <w:rPr>
          <w:rFonts w:eastAsia="Times New Roman"/>
          <w:szCs w:val="23"/>
          <w:lang w:eastAsia="en-US"/>
        </w:rPr>
        <w:t>.</w:t>
      </w:r>
      <w:r w:rsidR="00025D07">
        <w:rPr>
          <w:sz w:val="23"/>
          <w:szCs w:val="23"/>
        </w:rPr>
        <w:t xml:space="preserve"> Feraud, G. </w:t>
      </w:r>
      <w:r w:rsidR="00025D07" w:rsidRPr="006C645A">
        <w:rPr>
          <w:sz w:val="23"/>
          <w:szCs w:val="23"/>
        </w:rPr>
        <w:t>39</w:t>
      </w:r>
      <w:r w:rsidR="00025D07">
        <w:rPr>
          <w:sz w:val="23"/>
          <w:szCs w:val="23"/>
        </w:rPr>
        <w:t>Ar-40A</w:t>
      </w:r>
      <w:r w:rsidR="00025D07" w:rsidRPr="006C645A">
        <w:rPr>
          <w:sz w:val="23"/>
          <w:szCs w:val="23"/>
        </w:rPr>
        <w:t xml:space="preserve">r </w:t>
      </w:r>
      <w:r w:rsidR="00025D07">
        <w:rPr>
          <w:sz w:val="23"/>
          <w:szCs w:val="23"/>
        </w:rPr>
        <w:t>a</w:t>
      </w:r>
      <w:r w:rsidR="00025D07" w:rsidRPr="006C645A">
        <w:rPr>
          <w:sz w:val="23"/>
          <w:szCs w:val="23"/>
        </w:rPr>
        <w:t xml:space="preserve">nalysis </w:t>
      </w:r>
      <w:r w:rsidR="00025D07">
        <w:rPr>
          <w:sz w:val="23"/>
          <w:szCs w:val="23"/>
        </w:rPr>
        <w:t>o</w:t>
      </w:r>
      <w:r w:rsidR="00025D07" w:rsidRPr="006C645A">
        <w:rPr>
          <w:sz w:val="23"/>
          <w:szCs w:val="23"/>
        </w:rPr>
        <w:t xml:space="preserve">n </w:t>
      </w:r>
      <w:r w:rsidR="00025D07">
        <w:rPr>
          <w:sz w:val="23"/>
          <w:szCs w:val="23"/>
        </w:rPr>
        <w:t>basaltic lava s</w:t>
      </w:r>
      <w:r w:rsidR="00025D07" w:rsidRPr="006C645A">
        <w:rPr>
          <w:sz w:val="23"/>
          <w:szCs w:val="23"/>
        </w:rPr>
        <w:t xml:space="preserve">eries </w:t>
      </w:r>
      <w:r w:rsidR="00025D07">
        <w:rPr>
          <w:sz w:val="23"/>
          <w:szCs w:val="23"/>
        </w:rPr>
        <w:t>of Vavilov b</w:t>
      </w:r>
      <w:r w:rsidR="00025D07" w:rsidRPr="006C645A">
        <w:rPr>
          <w:sz w:val="23"/>
          <w:szCs w:val="23"/>
        </w:rPr>
        <w:t>asin, Tyrrhenian Sea</w:t>
      </w:r>
      <w:r w:rsidR="00025D07">
        <w:rPr>
          <w:sz w:val="23"/>
          <w:szCs w:val="23"/>
        </w:rPr>
        <w:t xml:space="preserve"> </w:t>
      </w:r>
      <w:r w:rsidR="00025D07" w:rsidRPr="006C645A">
        <w:rPr>
          <w:sz w:val="23"/>
          <w:szCs w:val="23"/>
        </w:rPr>
        <w:t>(Ocean Drilling Program, Leg 107, Holes 655b And 651a)</w:t>
      </w:r>
      <w:r w:rsidR="00025D07">
        <w:rPr>
          <w:sz w:val="23"/>
          <w:szCs w:val="23"/>
        </w:rPr>
        <w:t xml:space="preserve">, in </w:t>
      </w:r>
      <w:r w:rsidR="00025D07" w:rsidRPr="006C645A">
        <w:rPr>
          <w:sz w:val="23"/>
          <w:szCs w:val="23"/>
        </w:rPr>
        <w:t xml:space="preserve">Kastens, K. A., Mascle, J., et al., </w:t>
      </w:r>
      <w:r w:rsidR="00025D07">
        <w:rPr>
          <w:sz w:val="23"/>
          <w:szCs w:val="23"/>
        </w:rPr>
        <w:t xml:space="preserve">eds. </w:t>
      </w:r>
      <w:r w:rsidR="00025D07" w:rsidRPr="006C645A">
        <w:rPr>
          <w:sz w:val="23"/>
          <w:szCs w:val="23"/>
        </w:rPr>
        <w:t>Proceedings of the Ocean Drilling Program, Scientific Results, Vol. 107</w:t>
      </w:r>
      <w:r w:rsidR="00025D07">
        <w:rPr>
          <w:sz w:val="23"/>
          <w:szCs w:val="23"/>
        </w:rPr>
        <w:t>, 91-97 (</w:t>
      </w:r>
      <w:r w:rsidR="00025D07" w:rsidRPr="006C645A">
        <w:rPr>
          <w:sz w:val="23"/>
          <w:szCs w:val="23"/>
        </w:rPr>
        <w:t>1990</w:t>
      </w:r>
      <w:r w:rsidR="00025D07">
        <w:rPr>
          <w:sz w:val="23"/>
          <w:szCs w:val="23"/>
        </w:rPr>
        <w:t>).</w:t>
      </w:r>
    </w:p>
    <w:p w:rsidR="00564975" w:rsidRDefault="00564975">
      <w:pPr>
        <w:suppressAutoHyphens w:val="0"/>
        <w:autoSpaceDE/>
        <w:spacing w:line="240" w:lineRule="auto"/>
        <w:jc w:val="left"/>
        <w:rPr>
          <w:sz w:val="23"/>
          <w:szCs w:val="23"/>
        </w:rPr>
      </w:pPr>
      <w:r>
        <w:rPr>
          <w:sz w:val="23"/>
          <w:szCs w:val="23"/>
        </w:rPr>
        <w:br w:type="page"/>
      </w:r>
    </w:p>
    <w:p w:rsidR="00564975" w:rsidRDefault="00564975" w:rsidP="00564975">
      <w:pPr>
        <w:pStyle w:val="Testonormale"/>
        <w:spacing w:line="240" w:lineRule="auto"/>
        <w:ind w:hanging="142"/>
        <w:jc w:val="center"/>
        <w:rPr>
          <w:rFonts w:ascii="Times New Roman" w:hAnsi="Times New Roman" w:cs="Times New Roman"/>
          <w:iCs/>
          <w:sz w:val="22"/>
          <w:szCs w:val="22"/>
          <w:u w:val="single"/>
          <w:lang w:val="en-GB"/>
        </w:rPr>
      </w:pPr>
    </w:p>
    <w:p w:rsidR="00564975" w:rsidRDefault="00564975" w:rsidP="00564975">
      <w:pPr>
        <w:pStyle w:val="Testonormale"/>
        <w:spacing w:line="240" w:lineRule="auto"/>
        <w:ind w:hanging="142"/>
        <w:jc w:val="center"/>
        <w:rPr>
          <w:rFonts w:ascii="Times New Roman" w:hAnsi="Times New Roman" w:cs="Times New Roman"/>
          <w:iCs/>
          <w:sz w:val="22"/>
          <w:szCs w:val="22"/>
          <w:u w:val="single"/>
          <w:lang w:val="en-GB"/>
        </w:rPr>
      </w:pPr>
    </w:p>
    <w:p w:rsidR="00564975" w:rsidRDefault="00564975" w:rsidP="00564975">
      <w:pPr>
        <w:pStyle w:val="Testonormale"/>
        <w:spacing w:line="240" w:lineRule="auto"/>
        <w:ind w:hanging="142"/>
        <w:jc w:val="center"/>
        <w:rPr>
          <w:rFonts w:ascii="Times New Roman" w:hAnsi="Times New Roman" w:cs="Times New Roman"/>
          <w:iCs/>
          <w:sz w:val="22"/>
          <w:szCs w:val="22"/>
          <w:u w:val="single"/>
          <w:lang w:val="en-GB"/>
        </w:rPr>
      </w:pPr>
    </w:p>
    <w:p w:rsidR="00564975" w:rsidRPr="0033774B" w:rsidRDefault="00564975" w:rsidP="00564975">
      <w:pPr>
        <w:pStyle w:val="Testonormale"/>
        <w:spacing w:line="240" w:lineRule="auto"/>
        <w:jc w:val="center"/>
        <w:rPr>
          <w:rFonts w:ascii="Times New Roman" w:hAnsi="Times New Roman" w:cs="Times New Roman"/>
          <w:b/>
          <w:iCs/>
          <w:sz w:val="22"/>
          <w:szCs w:val="22"/>
          <w:u w:val="single"/>
          <w:lang w:val="en-GB"/>
        </w:rPr>
      </w:pPr>
      <w:r w:rsidRPr="0033774B">
        <w:rPr>
          <w:rFonts w:ascii="Times New Roman" w:hAnsi="Times New Roman" w:cs="Times New Roman"/>
          <w:b/>
          <w:iCs/>
          <w:sz w:val="22"/>
          <w:szCs w:val="22"/>
          <w:u w:val="single"/>
          <w:lang w:val="en-GB"/>
        </w:rPr>
        <w:t>SUPPLEMENTARY MATERIAL</w:t>
      </w:r>
    </w:p>
    <w:p w:rsidR="00564975" w:rsidRDefault="00564975" w:rsidP="00564975">
      <w:pPr>
        <w:pStyle w:val="Testonormale"/>
        <w:spacing w:line="240" w:lineRule="auto"/>
        <w:ind w:hanging="142"/>
        <w:jc w:val="center"/>
        <w:rPr>
          <w:rFonts w:ascii="Times New Roman" w:hAnsi="Times New Roman" w:cs="Times New Roman"/>
          <w:iCs/>
          <w:sz w:val="22"/>
          <w:szCs w:val="22"/>
          <w:u w:val="single"/>
          <w:lang w:val="en-GB"/>
        </w:rPr>
      </w:pPr>
    </w:p>
    <w:p w:rsidR="00564975" w:rsidRDefault="00564975" w:rsidP="00564975">
      <w:pPr>
        <w:pStyle w:val="Testonormale"/>
        <w:spacing w:line="240" w:lineRule="auto"/>
        <w:ind w:hanging="142"/>
        <w:jc w:val="center"/>
        <w:rPr>
          <w:rFonts w:ascii="Times New Roman" w:hAnsi="Times New Roman" w:cs="Times New Roman"/>
          <w:iCs/>
          <w:sz w:val="22"/>
          <w:szCs w:val="22"/>
          <w:u w:val="single"/>
          <w:lang w:val="en-GB"/>
        </w:rPr>
      </w:pPr>
    </w:p>
    <w:p w:rsidR="00564975" w:rsidRPr="009936F6" w:rsidRDefault="00564975" w:rsidP="00564975">
      <w:pPr>
        <w:pStyle w:val="Testonormale"/>
        <w:spacing w:line="240" w:lineRule="auto"/>
        <w:ind w:hanging="142"/>
        <w:jc w:val="center"/>
        <w:rPr>
          <w:rFonts w:ascii="Times New Roman" w:hAnsi="Times New Roman" w:cs="Times New Roman"/>
          <w:iCs/>
          <w:sz w:val="22"/>
          <w:szCs w:val="22"/>
          <w:lang w:val="en-GB"/>
        </w:rPr>
      </w:pPr>
      <w:r w:rsidRPr="009936F6">
        <w:rPr>
          <w:rFonts w:ascii="Times New Roman" w:hAnsi="Times New Roman" w:cs="Times New Roman"/>
          <w:iCs/>
          <w:sz w:val="22"/>
          <w:szCs w:val="22"/>
          <w:lang w:val="en-GB"/>
        </w:rPr>
        <w:t>The su</w:t>
      </w:r>
      <w:r>
        <w:rPr>
          <w:rFonts w:ascii="Times New Roman" w:hAnsi="Times New Roman" w:cs="Times New Roman"/>
          <w:iCs/>
          <w:sz w:val="22"/>
          <w:szCs w:val="22"/>
          <w:lang w:val="en-GB"/>
        </w:rPr>
        <w:t xml:space="preserve">pplementary </w:t>
      </w:r>
      <w:r w:rsidR="00AF3D6B">
        <w:rPr>
          <w:rFonts w:ascii="Times New Roman" w:hAnsi="Times New Roman" w:cs="Times New Roman"/>
          <w:iCs/>
          <w:sz w:val="22"/>
          <w:szCs w:val="22"/>
          <w:lang w:val="en-GB"/>
        </w:rPr>
        <w:t xml:space="preserve">numerical </w:t>
      </w:r>
      <w:r>
        <w:rPr>
          <w:rFonts w:ascii="Times New Roman" w:hAnsi="Times New Roman" w:cs="Times New Roman"/>
          <w:iCs/>
          <w:sz w:val="22"/>
          <w:szCs w:val="22"/>
          <w:lang w:val="en-GB"/>
        </w:rPr>
        <w:t>T</w:t>
      </w:r>
      <w:r w:rsidRPr="009936F6">
        <w:rPr>
          <w:rFonts w:ascii="Times New Roman" w:hAnsi="Times New Roman" w:cs="Times New Roman"/>
          <w:iCs/>
          <w:sz w:val="22"/>
          <w:szCs w:val="22"/>
          <w:lang w:val="en-GB"/>
        </w:rPr>
        <w:t>ables</w:t>
      </w:r>
      <w:r>
        <w:rPr>
          <w:rFonts w:ascii="Times New Roman" w:hAnsi="Times New Roman" w:cs="Times New Roman"/>
          <w:iCs/>
          <w:sz w:val="22"/>
          <w:szCs w:val="22"/>
          <w:lang w:val="en-GB"/>
        </w:rPr>
        <w:t xml:space="preserve"> </w:t>
      </w:r>
      <w:r w:rsidRPr="009936F6">
        <w:rPr>
          <w:rFonts w:ascii="Times New Roman" w:hAnsi="Times New Roman" w:cs="Times New Roman"/>
          <w:iCs/>
          <w:sz w:val="22"/>
          <w:szCs w:val="22"/>
          <w:lang w:val="en-GB"/>
        </w:rPr>
        <w:t xml:space="preserve">S4, and S6 are obtainable </w:t>
      </w:r>
      <w:r>
        <w:rPr>
          <w:rFonts w:ascii="Times New Roman" w:hAnsi="Times New Roman" w:cs="Times New Roman"/>
          <w:iCs/>
          <w:sz w:val="22"/>
          <w:szCs w:val="22"/>
          <w:lang w:val="en-GB"/>
        </w:rPr>
        <w:t>via</w:t>
      </w:r>
      <w:r w:rsidRPr="009936F6">
        <w:rPr>
          <w:rFonts w:ascii="Times New Roman" w:hAnsi="Times New Roman" w:cs="Times New Roman"/>
          <w:iCs/>
          <w:sz w:val="22"/>
          <w:szCs w:val="22"/>
          <w:lang w:val="en-GB"/>
        </w:rPr>
        <w:t xml:space="preserve"> request to the author.</w:t>
      </w:r>
    </w:p>
    <w:p w:rsidR="00564975" w:rsidRPr="003D7E28" w:rsidRDefault="00564975" w:rsidP="00564975">
      <w:pPr>
        <w:spacing w:line="240" w:lineRule="auto"/>
        <w:ind w:hanging="142"/>
        <w:rPr>
          <w:b/>
          <w:sz w:val="22"/>
          <w:szCs w:val="22"/>
        </w:rPr>
      </w:pPr>
      <w:r w:rsidRPr="009936F6">
        <w:rPr>
          <w:b/>
          <w:sz w:val="22"/>
          <w:szCs w:val="22"/>
        </w:rPr>
        <w:br w:type="page"/>
      </w:r>
      <w:r w:rsidRPr="003D7E28">
        <w:rPr>
          <w:b/>
          <w:sz w:val="22"/>
          <w:szCs w:val="22"/>
        </w:rPr>
        <w:lastRenderedPageBreak/>
        <w:t xml:space="preserve">Supplementary - S1: Brief description of previous </w:t>
      </w:r>
      <w:r w:rsidRPr="003D7E28">
        <w:rPr>
          <w:b/>
          <w:szCs w:val="23"/>
        </w:rPr>
        <w:t>tectonic reconstructions</w:t>
      </w:r>
    </w:p>
    <w:p w:rsidR="00564975" w:rsidRPr="00A746CB" w:rsidRDefault="00564975" w:rsidP="00564975">
      <w:pPr>
        <w:spacing w:line="240" w:lineRule="auto"/>
        <w:ind w:firstLine="720"/>
        <w:rPr>
          <w:szCs w:val="23"/>
        </w:rPr>
      </w:pPr>
      <w:r w:rsidRPr="00A746CB">
        <w:rPr>
          <w:bCs/>
          <w:szCs w:val="23"/>
        </w:rPr>
        <w:t xml:space="preserve">It is generally </w:t>
      </w:r>
      <w:r>
        <w:rPr>
          <w:bCs/>
          <w:szCs w:val="23"/>
        </w:rPr>
        <w:t>considered</w:t>
      </w:r>
      <w:r w:rsidRPr="00A746CB">
        <w:rPr>
          <w:bCs/>
          <w:szCs w:val="23"/>
        </w:rPr>
        <w:t xml:space="preserve"> that </w:t>
      </w:r>
      <w:r w:rsidRPr="00A746CB">
        <w:rPr>
          <w:szCs w:val="23"/>
        </w:rPr>
        <w:t xml:space="preserve">calc-alkaline </w:t>
      </w:r>
      <w:r w:rsidRPr="00A746CB">
        <w:rPr>
          <w:bCs/>
          <w:szCs w:val="23"/>
        </w:rPr>
        <w:t xml:space="preserve">volcanism, </w:t>
      </w:r>
      <w:r w:rsidRPr="00A746CB">
        <w:rPr>
          <w:szCs w:val="23"/>
        </w:rPr>
        <w:t xml:space="preserve">oceanic spreading </w:t>
      </w:r>
      <w:r w:rsidRPr="00A746CB">
        <w:rPr>
          <w:bCs/>
          <w:szCs w:val="23"/>
        </w:rPr>
        <w:t xml:space="preserve">and bending of the Maghrebid-Apennines belt were linked to roll-back of WNW-directed subduction of African plate from early Oligocene to Recent. </w:t>
      </w:r>
      <w:r w:rsidRPr="00A746CB">
        <w:rPr>
          <w:szCs w:val="23"/>
        </w:rPr>
        <w:t xml:space="preserve">For the most part, the authors call for the arc environment on the assumption that </w:t>
      </w:r>
      <w:r w:rsidRPr="00A746CB">
        <w:rPr>
          <w:bCs/>
          <w:szCs w:val="23"/>
        </w:rPr>
        <w:t xml:space="preserve">calc-alkaline </w:t>
      </w:r>
      <w:r w:rsidRPr="00A746CB">
        <w:rPr>
          <w:szCs w:val="23"/>
        </w:rPr>
        <w:t xml:space="preserve">magmas and oceanic opening probably require concomitant </w:t>
      </w:r>
      <w:r>
        <w:rPr>
          <w:szCs w:val="23"/>
        </w:rPr>
        <w:t>slab retreat</w:t>
      </w:r>
      <w:r w:rsidRPr="00A746CB">
        <w:rPr>
          <w:szCs w:val="23"/>
        </w:rPr>
        <w:t xml:space="preserve"> extending </w:t>
      </w:r>
      <w:r w:rsidRPr="00A746CB">
        <w:rPr>
          <w:bCs/>
          <w:szCs w:val="23"/>
        </w:rPr>
        <w:t xml:space="preserve">from the north Apennines to western Maghreb </w:t>
      </w:r>
      <w:r w:rsidRPr="00A746CB">
        <w:rPr>
          <w:szCs w:val="23"/>
        </w:rPr>
        <w:t xml:space="preserve">(see, e.g., </w:t>
      </w:r>
      <w:r w:rsidRPr="005F0259">
        <w:rPr>
          <w:i/>
          <w:szCs w:val="23"/>
        </w:rPr>
        <w:t>Malinverno</w:t>
      </w:r>
      <w:r w:rsidRPr="00A746CB">
        <w:rPr>
          <w:i/>
          <w:szCs w:val="23"/>
        </w:rPr>
        <w:t xml:space="preserve"> and Ryan</w:t>
      </w:r>
      <w:r w:rsidRPr="00A746CB">
        <w:rPr>
          <w:szCs w:val="23"/>
        </w:rPr>
        <w:t xml:space="preserve">, 1986; </w:t>
      </w:r>
      <w:r w:rsidRPr="005F0259">
        <w:rPr>
          <w:i/>
          <w:szCs w:val="23"/>
        </w:rPr>
        <w:t>Lonergan</w:t>
      </w:r>
      <w:r w:rsidRPr="00A746CB">
        <w:rPr>
          <w:i/>
          <w:szCs w:val="23"/>
        </w:rPr>
        <w:t xml:space="preserve"> and White</w:t>
      </w:r>
      <w:r w:rsidRPr="00A746CB">
        <w:rPr>
          <w:szCs w:val="23"/>
        </w:rPr>
        <w:t xml:space="preserve">, 1997; </w:t>
      </w:r>
      <w:r w:rsidRPr="005F0259">
        <w:rPr>
          <w:i/>
          <w:szCs w:val="23"/>
        </w:rPr>
        <w:t>Carminati</w:t>
      </w:r>
      <w:r w:rsidRPr="00A746CB">
        <w:rPr>
          <w:i/>
          <w:szCs w:val="23"/>
        </w:rPr>
        <w:t xml:space="preserve"> et al</w:t>
      </w:r>
      <w:r w:rsidRPr="00A746CB">
        <w:rPr>
          <w:szCs w:val="23"/>
        </w:rPr>
        <w:t xml:space="preserve">., 1998a; </w:t>
      </w:r>
      <w:r w:rsidRPr="005F0259">
        <w:rPr>
          <w:i/>
          <w:szCs w:val="23"/>
        </w:rPr>
        <w:t>Wilson and Bianchini</w:t>
      </w:r>
      <w:r w:rsidRPr="005F0259">
        <w:rPr>
          <w:szCs w:val="23"/>
        </w:rPr>
        <w:t xml:space="preserve">, 1999; </w:t>
      </w:r>
      <w:r w:rsidRPr="005F0259">
        <w:rPr>
          <w:i/>
          <w:sz w:val="22"/>
          <w:szCs w:val="22"/>
        </w:rPr>
        <w:t>Argnani</w:t>
      </w:r>
      <w:r w:rsidRPr="005F0259">
        <w:rPr>
          <w:i/>
          <w:color w:val="231F20"/>
          <w:sz w:val="22"/>
          <w:szCs w:val="22"/>
        </w:rPr>
        <w:t xml:space="preserve"> and</w:t>
      </w:r>
      <w:r w:rsidRPr="005F0259">
        <w:rPr>
          <w:i/>
          <w:sz w:val="22"/>
          <w:szCs w:val="22"/>
        </w:rPr>
        <w:t>. Savelli,</w:t>
      </w:r>
      <w:r w:rsidRPr="005F0259">
        <w:rPr>
          <w:sz w:val="22"/>
          <w:szCs w:val="22"/>
        </w:rPr>
        <w:t xml:space="preserve"> 1999;</w:t>
      </w:r>
      <w:r w:rsidRPr="005F0259">
        <w:rPr>
          <w:szCs w:val="23"/>
        </w:rPr>
        <w:t xml:space="preserve"> </w:t>
      </w:r>
      <w:r w:rsidRPr="005F0259">
        <w:rPr>
          <w:i/>
          <w:szCs w:val="23"/>
        </w:rPr>
        <w:t>Maury et</w:t>
      </w:r>
      <w:r w:rsidRPr="005F0259">
        <w:rPr>
          <w:szCs w:val="23"/>
        </w:rPr>
        <w:t xml:space="preserve"> </w:t>
      </w:r>
      <w:r w:rsidRPr="005F0259">
        <w:rPr>
          <w:i/>
          <w:szCs w:val="23"/>
        </w:rPr>
        <w:t>al</w:t>
      </w:r>
      <w:r w:rsidRPr="005F0259">
        <w:rPr>
          <w:szCs w:val="23"/>
        </w:rPr>
        <w:t xml:space="preserve">., 2000; </w:t>
      </w:r>
      <w:r w:rsidRPr="005F0259">
        <w:rPr>
          <w:i/>
          <w:szCs w:val="23"/>
        </w:rPr>
        <w:t>Cibin et al</w:t>
      </w:r>
      <w:r w:rsidRPr="005F0259">
        <w:rPr>
          <w:szCs w:val="23"/>
        </w:rPr>
        <w:t>., 2001;</w:t>
      </w:r>
      <w:r w:rsidRPr="00A746CB">
        <w:rPr>
          <w:szCs w:val="23"/>
        </w:rPr>
        <w:t xml:space="preserve"> </w:t>
      </w:r>
      <w:r w:rsidRPr="005F0259">
        <w:rPr>
          <w:i/>
          <w:szCs w:val="23"/>
        </w:rPr>
        <w:t>Barruol and Granet</w:t>
      </w:r>
      <w:r w:rsidRPr="005F0259">
        <w:rPr>
          <w:szCs w:val="23"/>
        </w:rPr>
        <w:t xml:space="preserve">, 2002; </w:t>
      </w:r>
      <w:r w:rsidRPr="005F0259">
        <w:rPr>
          <w:i/>
          <w:szCs w:val="23"/>
        </w:rPr>
        <w:t>Rosenbaum et al</w:t>
      </w:r>
      <w:r w:rsidRPr="005F0259">
        <w:rPr>
          <w:szCs w:val="23"/>
        </w:rPr>
        <w:t xml:space="preserve">., 2002; </w:t>
      </w:r>
      <w:r w:rsidRPr="005F0259">
        <w:rPr>
          <w:i/>
          <w:szCs w:val="23"/>
        </w:rPr>
        <w:t>Spakman and Wortel</w:t>
      </w:r>
      <w:r w:rsidRPr="005F0259">
        <w:rPr>
          <w:szCs w:val="23"/>
        </w:rPr>
        <w:t xml:space="preserve">, 2004; </w:t>
      </w:r>
      <w:r w:rsidRPr="005F0259">
        <w:rPr>
          <w:i/>
          <w:szCs w:val="23"/>
        </w:rPr>
        <w:t>Martin</w:t>
      </w:r>
      <w:r w:rsidRPr="005F0259">
        <w:rPr>
          <w:szCs w:val="23"/>
        </w:rPr>
        <w:t xml:space="preserve">, 2006; </w:t>
      </w:r>
      <w:r w:rsidRPr="005F0259">
        <w:rPr>
          <w:i/>
          <w:szCs w:val="23"/>
        </w:rPr>
        <w:t>Scrocca et al</w:t>
      </w:r>
      <w:r w:rsidRPr="005F0259">
        <w:rPr>
          <w:szCs w:val="23"/>
        </w:rPr>
        <w:t xml:space="preserve">., 2005; </w:t>
      </w:r>
      <w:r w:rsidRPr="005F0259">
        <w:rPr>
          <w:rStyle w:val="CarattereCarattere"/>
          <w:i/>
          <w:szCs w:val="23"/>
        </w:rPr>
        <w:t>Heymes et al</w:t>
      </w:r>
      <w:r w:rsidRPr="005F0259">
        <w:rPr>
          <w:rStyle w:val="CarattereCarattere"/>
          <w:szCs w:val="23"/>
        </w:rPr>
        <w:t xml:space="preserve">., 2008; </w:t>
      </w:r>
      <w:r w:rsidRPr="005F0259">
        <w:rPr>
          <w:i/>
          <w:szCs w:val="23"/>
        </w:rPr>
        <w:t>Vignaroli et. al</w:t>
      </w:r>
      <w:r w:rsidRPr="005F0259">
        <w:rPr>
          <w:szCs w:val="23"/>
        </w:rPr>
        <w:t>., 2008)</w:t>
      </w:r>
      <w:r w:rsidRPr="005F0259">
        <w:rPr>
          <w:b/>
          <w:szCs w:val="23"/>
        </w:rPr>
        <w:t>.</w:t>
      </w:r>
      <w:r w:rsidRPr="005F0259">
        <w:rPr>
          <w:szCs w:val="23"/>
        </w:rPr>
        <w:t xml:space="preserve"> In the subduction-controlled environment has been considered the occurrence of: slab break-off (</w:t>
      </w:r>
      <w:r w:rsidRPr="005F0259">
        <w:rPr>
          <w:i/>
          <w:szCs w:val="23"/>
        </w:rPr>
        <w:t>Carminati et al</w:t>
      </w:r>
      <w:r w:rsidRPr="005F0259">
        <w:rPr>
          <w:szCs w:val="23"/>
        </w:rPr>
        <w:t xml:space="preserve">., 1998a, b; </w:t>
      </w:r>
      <w:r w:rsidRPr="005F0259">
        <w:rPr>
          <w:i/>
          <w:szCs w:val="23"/>
        </w:rPr>
        <w:t>Benito et al</w:t>
      </w:r>
      <w:r w:rsidRPr="005F0259">
        <w:rPr>
          <w:szCs w:val="23"/>
        </w:rPr>
        <w:t xml:space="preserve">., 1999; </w:t>
      </w:r>
      <w:r w:rsidRPr="005F0259">
        <w:rPr>
          <w:i/>
          <w:szCs w:val="23"/>
        </w:rPr>
        <w:t>Hoernle et al</w:t>
      </w:r>
      <w:r w:rsidRPr="005F0259">
        <w:rPr>
          <w:szCs w:val="23"/>
        </w:rPr>
        <w:t xml:space="preserve">., 1999; </w:t>
      </w:r>
      <w:r w:rsidRPr="005F0259">
        <w:rPr>
          <w:i/>
          <w:szCs w:val="23"/>
        </w:rPr>
        <w:t>Maury et al</w:t>
      </w:r>
      <w:r w:rsidRPr="005F0259">
        <w:rPr>
          <w:szCs w:val="23"/>
        </w:rPr>
        <w:t xml:space="preserve">., 2000; </w:t>
      </w:r>
      <w:r w:rsidRPr="005F0259">
        <w:rPr>
          <w:i/>
          <w:szCs w:val="23"/>
        </w:rPr>
        <w:t>Cavazza et al</w:t>
      </w:r>
      <w:r w:rsidRPr="005F0259">
        <w:rPr>
          <w:szCs w:val="23"/>
        </w:rPr>
        <w:t>., 2004), slab tear (</w:t>
      </w:r>
      <w:r w:rsidRPr="005F0259">
        <w:rPr>
          <w:i/>
          <w:szCs w:val="23"/>
        </w:rPr>
        <w:t>Patacca et al</w:t>
      </w:r>
      <w:r w:rsidRPr="005F0259">
        <w:rPr>
          <w:szCs w:val="23"/>
        </w:rPr>
        <w:t xml:space="preserve">., 1990; </w:t>
      </w:r>
      <w:r w:rsidRPr="005F0259">
        <w:rPr>
          <w:i/>
          <w:szCs w:val="23"/>
        </w:rPr>
        <w:t>Marani and Trua</w:t>
      </w:r>
      <w:r w:rsidRPr="005F0259">
        <w:rPr>
          <w:szCs w:val="23"/>
        </w:rPr>
        <w:t xml:space="preserve">, 2002; </w:t>
      </w:r>
      <w:r w:rsidRPr="005F0259">
        <w:rPr>
          <w:i/>
          <w:szCs w:val="23"/>
        </w:rPr>
        <w:t>Faccenna et al</w:t>
      </w:r>
      <w:r w:rsidRPr="005F0259">
        <w:rPr>
          <w:szCs w:val="23"/>
        </w:rPr>
        <w:t xml:space="preserve">., 2004, 2007; </w:t>
      </w:r>
      <w:r w:rsidRPr="005F0259">
        <w:rPr>
          <w:i/>
          <w:szCs w:val="23"/>
        </w:rPr>
        <w:t>Chiarabba et al</w:t>
      </w:r>
      <w:r w:rsidRPr="005F0259">
        <w:rPr>
          <w:szCs w:val="23"/>
        </w:rPr>
        <w:t xml:space="preserve">., 2008; </w:t>
      </w:r>
      <w:r w:rsidRPr="005F0259">
        <w:rPr>
          <w:i/>
          <w:szCs w:val="23"/>
        </w:rPr>
        <w:t>Rosenbaum et al</w:t>
      </w:r>
      <w:r w:rsidRPr="005F0259">
        <w:rPr>
          <w:szCs w:val="23"/>
        </w:rPr>
        <w:t xml:space="preserve">., 2008), inversion of subduction polarity (see, e.g., </w:t>
      </w:r>
      <w:r w:rsidRPr="005F0259">
        <w:rPr>
          <w:i/>
          <w:szCs w:val="23"/>
        </w:rPr>
        <w:t>Boccaletti et al</w:t>
      </w:r>
      <w:r w:rsidRPr="005F0259">
        <w:rPr>
          <w:szCs w:val="23"/>
        </w:rPr>
        <w:t xml:space="preserve">., 1971; </w:t>
      </w:r>
      <w:r w:rsidRPr="005F0259">
        <w:rPr>
          <w:i/>
          <w:szCs w:val="23"/>
        </w:rPr>
        <w:t>Rehault et al</w:t>
      </w:r>
      <w:r w:rsidRPr="005F0259">
        <w:rPr>
          <w:szCs w:val="23"/>
        </w:rPr>
        <w:t xml:space="preserve">., 1984; </w:t>
      </w:r>
      <w:r w:rsidRPr="005F0259">
        <w:rPr>
          <w:i/>
          <w:szCs w:val="23"/>
        </w:rPr>
        <w:t>Doglioni et al</w:t>
      </w:r>
      <w:r w:rsidRPr="005F0259">
        <w:rPr>
          <w:szCs w:val="23"/>
        </w:rPr>
        <w:t xml:space="preserve">., 1998, 2004; </w:t>
      </w:r>
      <w:r w:rsidRPr="005F0259">
        <w:rPr>
          <w:i/>
          <w:szCs w:val="23"/>
        </w:rPr>
        <w:t>Gueguen</w:t>
      </w:r>
      <w:r w:rsidRPr="005F0259">
        <w:rPr>
          <w:szCs w:val="23"/>
        </w:rPr>
        <w:t xml:space="preserve"> </w:t>
      </w:r>
      <w:r w:rsidRPr="005F0259">
        <w:rPr>
          <w:i/>
          <w:szCs w:val="23"/>
        </w:rPr>
        <w:t>et al</w:t>
      </w:r>
      <w:r w:rsidRPr="005F0259">
        <w:rPr>
          <w:szCs w:val="23"/>
        </w:rPr>
        <w:t xml:space="preserve">., 1998; </w:t>
      </w:r>
      <w:r w:rsidRPr="005F0259">
        <w:rPr>
          <w:i/>
          <w:szCs w:val="23"/>
        </w:rPr>
        <w:t>Peccerillo</w:t>
      </w:r>
      <w:r w:rsidRPr="005F0259">
        <w:rPr>
          <w:szCs w:val="23"/>
        </w:rPr>
        <w:t>, 1999;</w:t>
      </w:r>
      <w:r w:rsidRPr="005F0259">
        <w:rPr>
          <w:i/>
          <w:szCs w:val="23"/>
        </w:rPr>
        <w:t xml:space="preserve"> Savelli, </w:t>
      </w:r>
      <w:r w:rsidRPr="005F0259">
        <w:rPr>
          <w:szCs w:val="23"/>
        </w:rPr>
        <w:t>2002, 2011), slab roll-back without polarity inversion (</w:t>
      </w:r>
      <w:r w:rsidRPr="005F0259">
        <w:rPr>
          <w:i/>
          <w:szCs w:val="23"/>
        </w:rPr>
        <w:t>Beccaluva et al., 1994</w:t>
      </w:r>
      <w:r w:rsidRPr="005F0259">
        <w:rPr>
          <w:szCs w:val="23"/>
        </w:rPr>
        <w:t xml:space="preserve">; </w:t>
      </w:r>
      <w:r w:rsidRPr="005F0259">
        <w:rPr>
          <w:i/>
          <w:szCs w:val="23"/>
        </w:rPr>
        <w:t>Argnani et al</w:t>
      </w:r>
      <w:r w:rsidRPr="005F0259">
        <w:rPr>
          <w:szCs w:val="23"/>
        </w:rPr>
        <w:t xml:space="preserve">.,1995; </w:t>
      </w:r>
      <w:r w:rsidRPr="005F0259">
        <w:rPr>
          <w:i/>
          <w:szCs w:val="23"/>
        </w:rPr>
        <w:t>Lonergan and White</w:t>
      </w:r>
      <w:r w:rsidRPr="005F0259">
        <w:rPr>
          <w:szCs w:val="23"/>
        </w:rPr>
        <w:t>, 1997), and delamination of subducted lithosphere (</w:t>
      </w:r>
      <w:r w:rsidRPr="005F0259">
        <w:rPr>
          <w:i/>
          <w:szCs w:val="23"/>
        </w:rPr>
        <w:t>Serri et al</w:t>
      </w:r>
      <w:r w:rsidRPr="005F0259">
        <w:rPr>
          <w:szCs w:val="23"/>
        </w:rPr>
        <w:t xml:space="preserve">., 1993; </w:t>
      </w:r>
      <w:r w:rsidRPr="005F0259">
        <w:rPr>
          <w:i/>
          <w:szCs w:val="23"/>
        </w:rPr>
        <w:t>Hoernle et al.,</w:t>
      </w:r>
      <w:r w:rsidRPr="005F0259">
        <w:rPr>
          <w:szCs w:val="23"/>
        </w:rPr>
        <w:t xml:space="preserve"> 1999). Among the extension-controlled processes, various authors consider convective thinning of lithospheric mantle and orogenic collapse (see, e.g., </w:t>
      </w:r>
      <w:r w:rsidRPr="005F0259">
        <w:rPr>
          <w:i/>
          <w:szCs w:val="23"/>
        </w:rPr>
        <w:t xml:space="preserve">Doglioni, </w:t>
      </w:r>
      <w:r w:rsidRPr="005F0259">
        <w:rPr>
          <w:szCs w:val="23"/>
        </w:rPr>
        <w:t>1995</w:t>
      </w:r>
      <w:r w:rsidRPr="005F0259">
        <w:rPr>
          <w:i/>
          <w:szCs w:val="23"/>
        </w:rPr>
        <w:t>; Turner et al</w:t>
      </w:r>
      <w:r w:rsidRPr="005F0259">
        <w:rPr>
          <w:szCs w:val="23"/>
        </w:rPr>
        <w:t xml:space="preserve">., 1999; </w:t>
      </w:r>
      <w:r w:rsidRPr="005F0259">
        <w:rPr>
          <w:i/>
          <w:szCs w:val="23"/>
        </w:rPr>
        <w:t>Doblas et al</w:t>
      </w:r>
      <w:r w:rsidRPr="005F0259">
        <w:rPr>
          <w:szCs w:val="23"/>
        </w:rPr>
        <w:t xml:space="preserve">., 2007). </w:t>
      </w:r>
      <w:r w:rsidRPr="005F0259">
        <w:rPr>
          <w:i/>
          <w:szCs w:val="23"/>
        </w:rPr>
        <w:t>Doglioni</w:t>
      </w:r>
      <w:r w:rsidRPr="005F0259">
        <w:rPr>
          <w:szCs w:val="23"/>
        </w:rPr>
        <w:t xml:space="preserve"> (1992) and </w:t>
      </w:r>
      <w:r w:rsidRPr="005F0259">
        <w:rPr>
          <w:i/>
          <w:szCs w:val="23"/>
        </w:rPr>
        <w:t>Keller et al.</w:t>
      </w:r>
      <w:r w:rsidRPr="005F0259">
        <w:rPr>
          <w:szCs w:val="23"/>
        </w:rPr>
        <w:t xml:space="preserve"> (1994) propose that the eastward mantle flow is at the origin of back-arc extension and consecutive oceanic opening. </w:t>
      </w:r>
      <w:r w:rsidRPr="005F0259">
        <w:rPr>
          <w:i/>
          <w:szCs w:val="23"/>
        </w:rPr>
        <w:t>Doglioni et alii</w:t>
      </w:r>
      <w:r w:rsidRPr="005F0259">
        <w:rPr>
          <w:szCs w:val="23"/>
        </w:rPr>
        <w:t xml:space="preserve"> (1999a, b) suggest</w:t>
      </w:r>
      <w:r w:rsidRPr="00A746CB">
        <w:rPr>
          <w:szCs w:val="23"/>
        </w:rPr>
        <w:t xml:space="preserve"> that </w:t>
      </w:r>
      <w:r>
        <w:rPr>
          <w:szCs w:val="23"/>
        </w:rPr>
        <w:t xml:space="preserve">mantle </w:t>
      </w:r>
      <w:r w:rsidRPr="00A746CB">
        <w:rPr>
          <w:szCs w:val="23"/>
        </w:rPr>
        <w:t xml:space="preserve">flow results in the contrasting modes of the steep and flat subduction zones. The “two subductions” concept considers that </w:t>
      </w:r>
      <w:r>
        <w:rPr>
          <w:szCs w:val="23"/>
        </w:rPr>
        <w:t xml:space="preserve">flat </w:t>
      </w:r>
      <w:r w:rsidRPr="00A746CB">
        <w:rPr>
          <w:szCs w:val="23"/>
        </w:rPr>
        <w:t xml:space="preserve">E-subduction zones are associated to uplifting mountains (e.g., the </w:t>
      </w:r>
      <w:r>
        <w:rPr>
          <w:szCs w:val="23"/>
        </w:rPr>
        <w:t xml:space="preserve">western </w:t>
      </w:r>
      <w:r w:rsidRPr="00A746CB">
        <w:rPr>
          <w:szCs w:val="23"/>
        </w:rPr>
        <w:t xml:space="preserve">Alps) and </w:t>
      </w:r>
      <w:r>
        <w:rPr>
          <w:szCs w:val="23"/>
        </w:rPr>
        <w:t xml:space="preserve">steep </w:t>
      </w:r>
      <w:r w:rsidRPr="00A746CB">
        <w:rPr>
          <w:szCs w:val="23"/>
        </w:rPr>
        <w:t xml:space="preserve">W-subduction zones to </w:t>
      </w:r>
      <w:r>
        <w:rPr>
          <w:szCs w:val="23"/>
        </w:rPr>
        <w:t>small elevation of the chain (the Apennines)</w:t>
      </w:r>
      <w:r w:rsidRPr="00A746CB">
        <w:rPr>
          <w:szCs w:val="23"/>
        </w:rPr>
        <w:t xml:space="preserve">. </w:t>
      </w:r>
    </w:p>
    <w:p w:rsidR="00564975" w:rsidRPr="00A746CB" w:rsidRDefault="00564975" w:rsidP="00564975">
      <w:pPr>
        <w:spacing w:line="240" w:lineRule="auto"/>
        <w:ind w:firstLine="720"/>
        <w:rPr>
          <w:szCs w:val="23"/>
        </w:rPr>
      </w:pPr>
      <w:r w:rsidRPr="005F0259">
        <w:rPr>
          <w:i/>
          <w:szCs w:val="23"/>
        </w:rPr>
        <w:t>Lavecchia and Stoppa</w:t>
      </w:r>
      <w:r w:rsidRPr="005F0259">
        <w:rPr>
          <w:szCs w:val="23"/>
        </w:rPr>
        <w:t xml:space="preserve"> (1990, 1996) and </w:t>
      </w:r>
      <w:r w:rsidRPr="005F0259">
        <w:rPr>
          <w:i/>
          <w:szCs w:val="23"/>
        </w:rPr>
        <w:t>Bell et alii (</w:t>
      </w:r>
      <w:r w:rsidRPr="005F0259">
        <w:rPr>
          <w:szCs w:val="23"/>
        </w:rPr>
        <w:t>2006) believe that east-dipping detachment faults of the Sardinia/Tyrrhenian region and volcanic activity associated with eruption of carbonatite rocks and deep-seated CO</w:t>
      </w:r>
      <w:r w:rsidRPr="005F0259">
        <w:rPr>
          <w:szCs w:val="23"/>
          <w:vertAlign w:val="subscript"/>
        </w:rPr>
        <w:t>2</w:t>
      </w:r>
      <w:r w:rsidRPr="005F0259">
        <w:rPr>
          <w:szCs w:val="23"/>
        </w:rPr>
        <w:t xml:space="preserve"> emission of the Apennine region took place in response to the ascent of intra-continental plume. Diverse, but not mutually exclusive processes, occurred in the western passive and the eastern active margin (</w:t>
      </w:r>
      <w:r w:rsidRPr="005F0259">
        <w:rPr>
          <w:i/>
          <w:szCs w:val="23"/>
        </w:rPr>
        <w:t>Kastens et al.,</w:t>
      </w:r>
      <w:r w:rsidRPr="005F0259">
        <w:rPr>
          <w:szCs w:val="23"/>
        </w:rPr>
        <w:t xml:space="preserve"> 1988; </w:t>
      </w:r>
      <w:r w:rsidRPr="005F0259">
        <w:rPr>
          <w:i/>
          <w:szCs w:val="23"/>
        </w:rPr>
        <w:t>Keller et al</w:t>
      </w:r>
      <w:r w:rsidRPr="005F0259">
        <w:rPr>
          <w:szCs w:val="23"/>
        </w:rPr>
        <w:t xml:space="preserve">., 1994; </w:t>
      </w:r>
      <w:r w:rsidRPr="005F0259">
        <w:rPr>
          <w:i/>
          <w:szCs w:val="23"/>
        </w:rPr>
        <w:t>Sartori et al</w:t>
      </w:r>
      <w:r w:rsidRPr="005F0259">
        <w:rPr>
          <w:szCs w:val="23"/>
        </w:rPr>
        <w:t xml:space="preserve">., 2004). While the passive continental Corsica-Sardinian margin is thinned and stretched by detachment faults, back-arc extension and arc volcanism migrate eastwards. This reconstruction might recall the idea of </w:t>
      </w:r>
      <w:r w:rsidRPr="005F0259">
        <w:rPr>
          <w:i/>
          <w:szCs w:val="23"/>
        </w:rPr>
        <w:t>Tatsumi et alii</w:t>
      </w:r>
      <w:r w:rsidRPr="005F0259">
        <w:rPr>
          <w:szCs w:val="23"/>
        </w:rPr>
        <w:t xml:space="preserve"> (1990) that asthenosphere injection into the mantle wedge forced slab steepening and back-arc extension. Some authors (</w:t>
      </w:r>
      <w:r w:rsidRPr="005F0259">
        <w:rPr>
          <w:i/>
          <w:szCs w:val="23"/>
        </w:rPr>
        <w:t>Turner</w:t>
      </w:r>
      <w:r w:rsidRPr="005F0259">
        <w:rPr>
          <w:szCs w:val="23"/>
        </w:rPr>
        <w:t xml:space="preserve"> </w:t>
      </w:r>
      <w:r w:rsidRPr="005F0259">
        <w:rPr>
          <w:i/>
          <w:szCs w:val="23"/>
        </w:rPr>
        <w:t>et al</w:t>
      </w:r>
      <w:r w:rsidRPr="005F0259">
        <w:rPr>
          <w:szCs w:val="23"/>
        </w:rPr>
        <w:t>., 1999;</w:t>
      </w:r>
      <w:r w:rsidRPr="005F0259">
        <w:rPr>
          <w:i/>
          <w:szCs w:val="23"/>
        </w:rPr>
        <w:t xml:space="preserve"> Doblas et al</w:t>
      </w:r>
      <w:r w:rsidRPr="005F0259">
        <w:rPr>
          <w:szCs w:val="23"/>
        </w:rPr>
        <w:t>., 2007) consider that the post-collision Betic-Alboran magmatism was a consequence of convective removal of lithospheric mantle and lower crust in the absence of subduction. Local comenditic rocks from Sardinia and lamproitic rocks from Alpine Corsica are thought to reflect a tectonic environment of continental extension rather than subduction (</w:t>
      </w:r>
      <w:r w:rsidRPr="005F0259">
        <w:rPr>
          <w:i/>
          <w:szCs w:val="23"/>
        </w:rPr>
        <w:t>Morra</w:t>
      </w:r>
      <w:r w:rsidRPr="005F0259">
        <w:rPr>
          <w:szCs w:val="23"/>
        </w:rPr>
        <w:t xml:space="preserve"> </w:t>
      </w:r>
      <w:r w:rsidRPr="005F0259">
        <w:rPr>
          <w:i/>
          <w:szCs w:val="23"/>
        </w:rPr>
        <w:t>et al</w:t>
      </w:r>
      <w:r w:rsidRPr="005F0259">
        <w:rPr>
          <w:szCs w:val="23"/>
        </w:rPr>
        <w:t xml:space="preserve">., 1994; </w:t>
      </w:r>
      <w:r w:rsidRPr="005F0259">
        <w:rPr>
          <w:i/>
          <w:szCs w:val="23"/>
        </w:rPr>
        <w:t>Prelevic et al</w:t>
      </w:r>
      <w:r w:rsidRPr="005F0259">
        <w:rPr>
          <w:szCs w:val="23"/>
        </w:rPr>
        <w:t xml:space="preserve">., 2007). </w:t>
      </w:r>
      <w:r w:rsidRPr="005F0259">
        <w:rPr>
          <w:i/>
          <w:szCs w:val="23"/>
        </w:rPr>
        <w:t>Mantovani et alii</w:t>
      </w:r>
      <w:r w:rsidRPr="005F0259">
        <w:rPr>
          <w:szCs w:val="23"/>
        </w:rPr>
        <w:t xml:space="preserve"> (2002) and </w:t>
      </w:r>
      <w:r w:rsidRPr="005F0259">
        <w:rPr>
          <w:i/>
          <w:szCs w:val="23"/>
        </w:rPr>
        <w:t>Viti et alii</w:t>
      </w:r>
      <w:r w:rsidRPr="005F0259">
        <w:rPr>
          <w:szCs w:val="23"/>
        </w:rPr>
        <w:t xml:space="preserve"> (2009) consider that Africa-Europe plate motions</w:t>
      </w:r>
      <w:r w:rsidRPr="00A746CB">
        <w:rPr>
          <w:szCs w:val="23"/>
        </w:rPr>
        <w:t xml:space="preserve"> drove wedge extrusion </w:t>
      </w:r>
      <w:r>
        <w:rPr>
          <w:szCs w:val="23"/>
        </w:rPr>
        <w:t>and</w:t>
      </w:r>
      <w:r w:rsidRPr="00A746CB">
        <w:rPr>
          <w:szCs w:val="23"/>
        </w:rPr>
        <w:t xml:space="preserve"> formation of </w:t>
      </w:r>
      <w:r>
        <w:rPr>
          <w:szCs w:val="23"/>
        </w:rPr>
        <w:t xml:space="preserve">the </w:t>
      </w:r>
      <w:r w:rsidRPr="00A746CB">
        <w:rPr>
          <w:szCs w:val="23"/>
        </w:rPr>
        <w:t xml:space="preserve">trench-arc-back-arc sequence. </w:t>
      </w:r>
    </w:p>
    <w:p w:rsidR="00564975" w:rsidRPr="005F0259" w:rsidRDefault="00564975" w:rsidP="00564975">
      <w:pPr>
        <w:spacing w:line="240" w:lineRule="auto"/>
        <w:rPr>
          <w:szCs w:val="23"/>
        </w:rPr>
      </w:pPr>
      <w:r w:rsidRPr="00A746CB">
        <w:rPr>
          <w:szCs w:val="23"/>
        </w:rPr>
        <w:t xml:space="preserve">The slab beneath the Gibraltar arc is regarded as the counterpart of the Calabrian arc at the eastern termination of the WNW subduction beneath the Maghrebid-Apennines belt </w:t>
      </w:r>
      <w:r w:rsidRPr="005F0259">
        <w:rPr>
          <w:szCs w:val="23"/>
        </w:rPr>
        <w:t>(</w:t>
      </w:r>
      <w:r w:rsidRPr="005F0259">
        <w:rPr>
          <w:i/>
          <w:szCs w:val="23"/>
        </w:rPr>
        <w:t>Lonergan and White</w:t>
      </w:r>
      <w:r w:rsidRPr="005F0259">
        <w:rPr>
          <w:szCs w:val="23"/>
        </w:rPr>
        <w:t xml:space="preserve">, 1997; </w:t>
      </w:r>
      <w:r w:rsidRPr="005F0259">
        <w:rPr>
          <w:i/>
          <w:szCs w:val="23"/>
        </w:rPr>
        <w:t>Gutscher et al</w:t>
      </w:r>
      <w:r w:rsidRPr="005F0259">
        <w:rPr>
          <w:szCs w:val="23"/>
        </w:rPr>
        <w:t xml:space="preserve">., 2002; </w:t>
      </w:r>
      <w:r w:rsidRPr="005F0259">
        <w:rPr>
          <w:i/>
          <w:szCs w:val="23"/>
        </w:rPr>
        <w:t>Faccenna et al</w:t>
      </w:r>
      <w:r w:rsidRPr="005F0259">
        <w:rPr>
          <w:szCs w:val="23"/>
        </w:rPr>
        <w:t xml:space="preserve">., 2004; </w:t>
      </w:r>
      <w:r w:rsidRPr="005F0259">
        <w:rPr>
          <w:i/>
          <w:szCs w:val="23"/>
        </w:rPr>
        <w:t>Doblas et al</w:t>
      </w:r>
      <w:r w:rsidRPr="005F0259">
        <w:rPr>
          <w:szCs w:val="23"/>
        </w:rPr>
        <w:t xml:space="preserve">., 2007). In this view, the former arc migrated to the west and the latter to the east. </w:t>
      </w:r>
      <w:r w:rsidRPr="005F0259">
        <w:rPr>
          <w:rStyle w:val="Enfasigrassetto"/>
          <w:b w:val="0"/>
          <w:szCs w:val="23"/>
        </w:rPr>
        <w:t xml:space="preserve">It has been proposed that the Sardinia calc-alkaline </w:t>
      </w:r>
      <w:r w:rsidRPr="005F0259">
        <w:rPr>
          <w:szCs w:val="23"/>
        </w:rPr>
        <w:t xml:space="preserve">magmas </w:t>
      </w:r>
      <w:r w:rsidRPr="005F0259">
        <w:rPr>
          <w:rStyle w:val="Enfasigrassetto"/>
          <w:b w:val="0"/>
          <w:szCs w:val="23"/>
        </w:rPr>
        <w:t>originate from igneous sources which were metasomatized during plate convergence of Hercynian age (</w:t>
      </w:r>
      <w:r w:rsidRPr="005F0259">
        <w:rPr>
          <w:bCs/>
          <w:i/>
          <w:szCs w:val="23"/>
        </w:rPr>
        <w:t>Rehault</w:t>
      </w:r>
      <w:r w:rsidRPr="005F0259">
        <w:rPr>
          <w:bCs/>
          <w:szCs w:val="23"/>
        </w:rPr>
        <w:t xml:space="preserve"> </w:t>
      </w:r>
      <w:r w:rsidRPr="005F0259">
        <w:rPr>
          <w:bCs/>
          <w:i/>
          <w:szCs w:val="23"/>
        </w:rPr>
        <w:t>et al</w:t>
      </w:r>
      <w:r w:rsidRPr="005F0259">
        <w:rPr>
          <w:bCs/>
          <w:szCs w:val="23"/>
        </w:rPr>
        <w:t xml:space="preserve">., 1984; </w:t>
      </w:r>
      <w:r w:rsidRPr="005F0259">
        <w:rPr>
          <w:i/>
          <w:szCs w:val="23"/>
        </w:rPr>
        <w:t>Savelli</w:t>
      </w:r>
      <w:r w:rsidRPr="005F0259">
        <w:rPr>
          <w:szCs w:val="23"/>
        </w:rPr>
        <w:t>, 2002</w:t>
      </w:r>
      <w:r w:rsidRPr="005F0259">
        <w:rPr>
          <w:rStyle w:val="Enfasigrassetto"/>
          <w:b w:val="0"/>
          <w:i/>
          <w:szCs w:val="23"/>
        </w:rPr>
        <w:t>,</w:t>
      </w:r>
      <w:r w:rsidRPr="005F0259">
        <w:rPr>
          <w:rStyle w:val="Enfasigrassetto"/>
          <w:b w:val="0"/>
          <w:szCs w:val="23"/>
        </w:rPr>
        <w:t xml:space="preserve"> 2005). </w:t>
      </w:r>
      <w:r w:rsidRPr="005F0259">
        <w:rPr>
          <w:szCs w:val="23"/>
        </w:rPr>
        <w:t xml:space="preserve">Figure 2 shows that the pre-Oligocene (&gt; 33.9 Ma; </w:t>
      </w:r>
      <w:r w:rsidRPr="005F0259">
        <w:rPr>
          <w:rStyle w:val="Enfasigrassetto"/>
          <w:b w:val="0"/>
          <w:i/>
          <w:szCs w:val="23"/>
        </w:rPr>
        <w:t>International Stratigraphic Chart,</w:t>
      </w:r>
      <w:r w:rsidRPr="005F0259">
        <w:rPr>
          <w:rStyle w:val="Enfasigrassetto"/>
          <w:b w:val="0"/>
          <w:szCs w:val="23"/>
        </w:rPr>
        <w:t xml:space="preserve"> 2009) </w:t>
      </w:r>
      <w:r w:rsidRPr="005F0259">
        <w:rPr>
          <w:szCs w:val="23"/>
        </w:rPr>
        <w:t>NW-verging front of shortening due to collision of the European and African plates was accompanied by formation of SE-verging back-thrusts which will be the hinge zone of future WNW subduction of African lithosphere beneath the Maghrebid-Apennines belt. The similar SE-vergence of the inherited back-thrusts of Mediterranean OAA and the thrusts of the Apennines (</w:t>
      </w:r>
      <w:r w:rsidRPr="005F0259">
        <w:rPr>
          <w:i/>
          <w:szCs w:val="23"/>
        </w:rPr>
        <w:t>Keller et al</w:t>
      </w:r>
      <w:r w:rsidRPr="005F0259">
        <w:rPr>
          <w:szCs w:val="23"/>
        </w:rPr>
        <w:t xml:space="preserve">., 1994; </w:t>
      </w:r>
      <w:r w:rsidRPr="005F0259">
        <w:rPr>
          <w:i/>
          <w:szCs w:val="23"/>
        </w:rPr>
        <w:t>Doglioni</w:t>
      </w:r>
      <w:r w:rsidRPr="005F0259">
        <w:rPr>
          <w:szCs w:val="23"/>
        </w:rPr>
        <w:t xml:space="preserve">, 1998; </w:t>
      </w:r>
      <w:r w:rsidRPr="005F0259">
        <w:rPr>
          <w:i/>
          <w:szCs w:val="23"/>
        </w:rPr>
        <w:t>Gueguen et al</w:t>
      </w:r>
      <w:r w:rsidRPr="005F0259">
        <w:rPr>
          <w:szCs w:val="23"/>
        </w:rPr>
        <w:t xml:space="preserve">., 1998; </w:t>
      </w:r>
      <w:r w:rsidRPr="005F0259">
        <w:rPr>
          <w:i/>
          <w:szCs w:val="23"/>
        </w:rPr>
        <w:t>Scrocca</w:t>
      </w:r>
      <w:r w:rsidRPr="005F0259">
        <w:rPr>
          <w:szCs w:val="23"/>
        </w:rPr>
        <w:t xml:space="preserve"> et al., 2005) causes difficulties in determining initiation of the WNW subduction. Some authors (</w:t>
      </w:r>
      <w:r w:rsidRPr="005F0259">
        <w:rPr>
          <w:i/>
          <w:szCs w:val="23"/>
        </w:rPr>
        <w:t>Carminati et al</w:t>
      </w:r>
      <w:r w:rsidRPr="005F0259">
        <w:rPr>
          <w:szCs w:val="23"/>
        </w:rPr>
        <w:t xml:space="preserve">., 1998b; </w:t>
      </w:r>
      <w:r w:rsidRPr="005F0259">
        <w:rPr>
          <w:i/>
          <w:szCs w:val="23"/>
        </w:rPr>
        <w:t>Cibin et al</w:t>
      </w:r>
      <w:r w:rsidRPr="005F0259">
        <w:rPr>
          <w:szCs w:val="23"/>
        </w:rPr>
        <w:t xml:space="preserve">., 2001; </w:t>
      </w:r>
      <w:r w:rsidRPr="005F0259">
        <w:rPr>
          <w:i/>
          <w:szCs w:val="23"/>
        </w:rPr>
        <w:t>Faccenna et al</w:t>
      </w:r>
      <w:r w:rsidRPr="005F0259">
        <w:rPr>
          <w:szCs w:val="23"/>
        </w:rPr>
        <w:t xml:space="preserve">., 2004; </w:t>
      </w:r>
      <w:r w:rsidRPr="005F0259">
        <w:rPr>
          <w:i/>
          <w:szCs w:val="23"/>
        </w:rPr>
        <w:t>Rosenbaum et al</w:t>
      </w:r>
      <w:r w:rsidRPr="005F0259">
        <w:rPr>
          <w:szCs w:val="23"/>
        </w:rPr>
        <w:t xml:space="preserve">., 2008; </w:t>
      </w:r>
      <w:r w:rsidRPr="005F0259">
        <w:rPr>
          <w:i/>
          <w:szCs w:val="23"/>
        </w:rPr>
        <w:t>Conticelli et al</w:t>
      </w:r>
      <w:r w:rsidRPr="005F0259">
        <w:rPr>
          <w:szCs w:val="23"/>
        </w:rPr>
        <w:t>., 2009) propose that subduction started in early Oligocene (ca. 34/30 Ma), and some others (</w:t>
      </w:r>
      <w:r w:rsidRPr="005F0259">
        <w:rPr>
          <w:i/>
          <w:szCs w:val="23"/>
        </w:rPr>
        <w:t>Gueguen et al</w:t>
      </w:r>
      <w:r w:rsidRPr="005F0259">
        <w:rPr>
          <w:szCs w:val="23"/>
        </w:rPr>
        <w:t xml:space="preserve">., 1997, 1998; </w:t>
      </w:r>
      <w:r w:rsidRPr="005F0259">
        <w:rPr>
          <w:i/>
          <w:szCs w:val="23"/>
        </w:rPr>
        <w:t>Guerrera et al</w:t>
      </w:r>
      <w:r w:rsidRPr="005F0259">
        <w:rPr>
          <w:szCs w:val="23"/>
        </w:rPr>
        <w:t>., 1993, 2004, 2005) in late Oligocene (ca. 25 - 23 Ma</w:t>
      </w:r>
      <w:r w:rsidRPr="005F0259">
        <w:rPr>
          <w:bCs/>
          <w:szCs w:val="23"/>
        </w:rPr>
        <w:t xml:space="preserve"> or late Oligocene-</w:t>
      </w:r>
      <w:r w:rsidRPr="005F0259">
        <w:rPr>
          <w:bCs/>
          <w:szCs w:val="23"/>
        </w:rPr>
        <w:lastRenderedPageBreak/>
        <w:t>Aquitanian time, ca. 25 – 20 Ma)</w:t>
      </w:r>
      <w:r w:rsidRPr="005F0259">
        <w:rPr>
          <w:szCs w:val="23"/>
        </w:rPr>
        <w:t xml:space="preserve">. Subduction beneath the northern part of the Tyrrhenian/Apennine system initiated probably not earlier than ca. 20 – 14 Ma (early-middle Miocene; </w:t>
      </w:r>
      <w:r w:rsidRPr="005F0259">
        <w:rPr>
          <w:i/>
          <w:szCs w:val="23"/>
        </w:rPr>
        <w:t>Savelli</w:t>
      </w:r>
      <w:r w:rsidRPr="005F0259">
        <w:rPr>
          <w:szCs w:val="23"/>
        </w:rPr>
        <w:t xml:space="preserve"> 2000; </w:t>
      </w:r>
      <w:r w:rsidRPr="005F0259">
        <w:rPr>
          <w:i/>
          <w:szCs w:val="23"/>
        </w:rPr>
        <w:t>Guerrera et al</w:t>
      </w:r>
      <w:r w:rsidRPr="005F0259">
        <w:rPr>
          <w:szCs w:val="23"/>
        </w:rPr>
        <w:t xml:space="preserve">., 2012). </w:t>
      </w:r>
      <w:r w:rsidRPr="005F0259">
        <w:rPr>
          <w:i/>
          <w:szCs w:val="23"/>
        </w:rPr>
        <w:t>Maury et alii</w:t>
      </w:r>
      <w:r w:rsidRPr="005F0259">
        <w:rPr>
          <w:szCs w:val="23"/>
        </w:rPr>
        <w:t xml:space="preserve"> (2000) propose 16 Ma for slab break-off and commencement of </w:t>
      </w:r>
      <w:r w:rsidRPr="005F0259">
        <w:rPr>
          <w:bCs/>
          <w:szCs w:val="23"/>
        </w:rPr>
        <w:t xml:space="preserve">calc-alkaline </w:t>
      </w:r>
      <w:r w:rsidRPr="005F0259">
        <w:rPr>
          <w:szCs w:val="23"/>
        </w:rPr>
        <w:t>magmatism along the Maghreb margin. Given spreading rate of ca. 5 cm/a and slab depth of ca. 500 km beneath the Tyrrhenian basin,</w:t>
      </w:r>
      <w:r w:rsidRPr="005F0259">
        <w:rPr>
          <w:i/>
          <w:szCs w:val="23"/>
        </w:rPr>
        <w:t xml:space="preserve"> Francalanci and Manetti</w:t>
      </w:r>
      <w:r w:rsidRPr="005F0259">
        <w:rPr>
          <w:szCs w:val="23"/>
        </w:rPr>
        <w:t xml:space="preserve"> (1994) consider subduction duration of 10 Ma.</w:t>
      </w:r>
    </w:p>
    <w:p w:rsidR="00564975" w:rsidRPr="005F0259" w:rsidRDefault="00564975" w:rsidP="00564975">
      <w:pPr>
        <w:spacing w:line="240" w:lineRule="auto"/>
        <w:ind w:hanging="142"/>
        <w:rPr>
          <w:szCs w:val="23"/>
        </w:rPr>
      </w:pPr>
    </w:p>
    <w:p w:rsidR="00564975" w:rsidRPr="005F0259" w:rsidRDefault="00564975" w:rsidP="00564975">
      <w:pPr>
        <w:spacing w:line="240" w:lineRule="auto"/>
        <w:ind w:hanging="142"/>
        <w:rPr>
          <w:b/>
          <w:sz w:val="22"/>
          <w:szCs w:val="22"/>
        </w:rPr>
      </w:pPr>
      <w:r w:rsidRPr="005F0259">
        <w:rPr>
          <w:b/>
          <w:sz w:val="22"/>
          <w:szCs w:val="22"/>
        </w:rPr>
        <w:t>Supplementary - S2: Periods of weak extension and volcanism not coeval with the oceanic openings</w:t>
      </w:r>
    </w:p>
    <w:p w:rsidR="00564975" w:rsidRPr="005F0259" w:rsidRDefault="00564975" w:rsidP="00564975">
      <w:pPr>
        <w:spacing w:line="240" w:lineRule="auto"/>
        <w:rPr>
          <w:i/>
          <w:shadow/>
          <w:sz w:val="22"/>
          <w:szCs w:val="22"/>
          <w:u w:val="single"/>
          <w:lang w:val="it-IT"/>
        </w:rPr>
      </w:pPr>
      <w:r w:rsidRPr="005F0259">
        <w:rPr>
          <w:i/>
          <w:shadow/>
          <w:sz w:val="22"/>
          <w:szCs w:val="22"/>
          <w:u w:val="single"/>
          <w:lang w:val="it-IT"/>
        </w:rPr>
        <w:t>Oligocene - Aquitanian (ca. 33/32 - 20 Ma)</w:t>
      </w:r>
    </w:p>
    <w:p w:rsidR="00564975" w:rsidRPr="005F0259" w:rsidRDefault="00564975" w:rsidP="003043B5">
      <w:pPr>
        <w:spacing w:line="240" w:lineRule="auto"/>
        <w:ind w:left="720"/>
        <w:rPr>
          <w:sz w:val="22"/>
          <w:szCs w:val="22"/>
          <w:u w:val="dash"/>
          <w:lang w:val="it-IT"/>
        </w:rPr>
      </w:pPr>
      <w:r w:rsidRPr="005F0259">
        <w:rPr>
          <w:sz w:val="22"/>
          <w:szCs w:val="22"/>
          <w:u w:val="dash"/>
          <w:lang w:val="it-IT"/>
        </w:rPr>
        <w:t>European Plate</w:t>
      </w:r>
    </w:p>
    <w:p w:rsidR="00564975" w:rsidRPr="0064535E" w:rsidRDefault="00564975" w:rsidP="00564975">
      <w:pPr>
        <w:spacing w:line="240" w:lineRule="auto"/>
        <w:ind w:firstLine="720"/>
        <w:rPr>
          <w:sz w:val="22"/>
          <w:szCs w:val="22"/>
        </w:rPr>
      </w:pPr>
      <w:r w:rsidRPr="005F0259">
        <w:rPr>
          <w:sz w:val="22"/>
          <w:szCs w:val="22"/>
        </w:rPr>
        <w:t>East of the Catalan-Tunisian fracture zone, the island of Sardinia saw intense rift activity. In the west Sardinia graben (Fig. 3/A, main text), lava flows and domes - often intruded by dikes and autobrecciated - are accompanied by ignimbrites, pyroclastics and pillow basalts. A series of individual volcanic complexes is the typical product of Sardinia volcanism. Rock composition varies from basalt to andesite dacite rhyolite, the serial type from tholeiitic and medium-K calc-alkaline to high-K calc-alkaline/shoshonitic, and the age from ca. 29 to 12 Ma (</w:t>
      </w:r>
      <w:r w:rsidRPr="005F0259">
        <w:rPr>
          <w:i/>
          <w:sz w:val="22"/>
          <w:szCs w:val="22"/>
        </w:rPr>
        <w:t>Deriu</w:t>
      </w:r>
      <w:r w:rsidRPr="005F0259">
        <w:rPr>
          <w:sz w:val="22"/>
          <w:szCs w:val="22"/>
        </w:rPr>
        <w:t xml:space="preserve">, 1962; </w:t>
      </w:r>
      <w:r w:rsidRPr="005F0259">
        <w:rPr>
          <w:i/>
          <w:sz w:val="22"/>
          <w:szCs w:val="22"/>
        </w:rPr>
        <w:t>Coulon et al</w:t>
      </w:r>
      <w:r w:rsidRPr="005F0259">
        <w:rPr>
          <w:sz w:val="22"/>
          <w:szCs w:val="22"/>
        </w:rPr>
        <w:t xml:space="preserve">., 1974; </w:t>
      </w:r>
      <w:r w:rsidRPr="005F0259">
        <w:rPr>
          <w:i/>
          <w:sz w:val="22"/>
          <w:szCs w:val="22"/>
        </w:rPr>
        <w:t>Coulon and Dupuy</w:t>
      </w:r>
      <w:r w:rsidRPr="005F0259">
        <w:rPr>
          <w:sz w:val="22"/>
          <w:szCs w:val="22"/>
        </w:rPr>
        <w:t xml:space="preserve">, 1975; </w:t>
      </w:r>
      <w:r w:rsidRPr="005F0259">
        <w:rPr>
          <w:i/>
          <w:sz w:val="22"/>
          <w:szCs w:val="22"/>
        </w:rPr>
        <w:t>Savelli et al</w:t>
      </w:r>
      <w:r w:rsidRPr="005F0259">
        <w:rPr>
          <w:sz w:val="22"/>
          <w:szCs w:val="22"/>
        </w:rPr>
        <w:t xml:space="preserve">., 1979; </w:t>
      </w:r>
      <w:r w:rsidRPr="005F0259">
        <w:rPr>
          <w:i/>
          <w:sz w:val="22"/>
          <w:szCs w:val="22"/>
        </w:rPr>
        <w:t>Dostal et al</w:t>
      </w:r>
      <w:r w:rsidRPr="005F0259">
        <w:rPr>
          <w:sz w:val="22"/>
          <w:szCs w:val="22"/>
        </w:rPr>
        <w:t xml:space="preserve">., 1982; </w:t>
      </w:r>
      <w:r w:rsidRPr="005F0259">
        <w:rPr>
          <w:i/>
          <w:sz w:val="22"/>
          <w:szCs w:val="22"/>
        </w:rPr>
        <w:t>Beccaluva et al</w:t>
      </w:r>
      <w:r w:rsidRPr="005F0259">
        <w:rPr>
          <w:sz w:val="22"/>
          <w:szCs w:val="22"/>
        </w:rPr>
        <w:t xml:space="preserve">., 1994; </w:t>
      </w:r>
      <w:r w:rsidRPr="005F0259">
        <w:rPr>
          <w:i/>
          <w:sz w:val="22"/>
          <w:szCs w:val="22"/>
        </w:rPr>
        <w:t>Argnani et al</w:t>
      </w:r>
      <w:r w:rsidRPr="005F0259">
        <w:rPr>
          <w:sz w:val="22"/>
          <w:szCs w:val="22"/>
        </w:rPr>
        <w:t xml:space="preserve">., 1995; </w:t>
      </w:r>
      <w:r w:rsidRPr="005F0259">
        <w:rPr>
          <w:i/>
          <w:sz w:val="22"/>
          <w:szCs w:val="22"/>
        </w:rPr>
        <w:t>Conte</w:t>
      </w:r>
      <w:r w:rsidRPr="005F0259">
        <w:rPr>
          <w:sz w:val="22"/>
          <w:szCs w:val="22"/>
        </w:rPr>
        <w:t xml:space="preserve">, 1997; </w:t>
      </w:r>
      <w:r w:rsidRPr="005F0259">
        <w:rPr>
          <w:i/>
          <w:sz w:val="22"/>
          <w:szCs w:val="22"/>
        </w:rPr>
        <w:t>Lustrino et al</w:t>
      </w:r>
      <w:r w:rsidRPr="005F0259">
        <w:rPr>
          <w:sz w:val="22"/>
          <w:szCs w:val="22"/>
        </w:rPr>
        <w:t xml:space="preserve">., 2004; </w:t>
      </w:r>
      <w:r w:rsidRPr="005F0259">
        <w:rPr>
          <w:i/>
          <w:sz w:val="22"/>
          <w:szCs w:val="22"/>
        </w:rPr>
        <w:t>Gattacceca et al</w:t>
      </w:r>
      <w:r w:rsidRPr="005F0259">
        <w:rPr>
          <w:sz w:val="22"/>
          <w:szCs w:val="22"/>
        </w:rPr>
        <w:t xml:space="preserve">., 2007). Andesitic lavas and ignimbritic rhyolites are the prevailing lithotype of the island (Tab. 1). The Sarroch volcanic complex (site 5; Fig.3/A) is made of basalts, basaltic andesites and andesites (samples SH-32, SH-55, SH-48 of Tab.1; </w:t>
      </w:r>
      <w:r w:rsidRPr="005F0259">
        <w:rPr>
          <w:i/>
          <w:sz w:val="22"/>
          <w:szCs w:val="22"/>
        </w:rPr>
        <w:t>Conte</w:t>
      </w:r>
      <w:r w:rsidRPr="005F0259">
        <w:rPr>
          <w:sz w:val="22"/>
          <w:szCs w:val="22"/>
        </w:rPr>
        <w:t xml:space="preserve">, 1997). Basalts and andesites crop out in Cixerri (site n. 6; </w:t>
      </w:r>
      <w:r w:rsidRPr="005F0259">
        <w:rPr>
          <w:i/>
          <w:sz w:val="22"/>
          <w:szCs w:val="22"/>
        </w:rPr>
        <w:t>Savelli et al</w:t>
      </w:r>
      <w:r w:rsidRPr="005F0259">
        <w:rPr>
          <w:sz w:val="22"/>
          <w:szCs w:val="22"/>
        </w:rPr>
        <w:t xml:space="preserve">., 1979); microdiorites, rhyolitic ignombrites, dacites and andesites in Alghero-Oniferi (site 7; </w:t>
      </w:r>
      <w:r w:rsidRPr="005F0259">
        <w:rPr>
          <w:i/>
          <w:sz w:val="22"/>
          <w:szCs w:val="22"/>
        </w:rPr>
        <w:t>Bellon</w:t>
      </w:r>
      <w:r w:rsidRPr="005F0259">
        <w:rPr>
          <w:sz w:val="22"/>
          <w:szCs w:val="22"/>
        </w:rPr>
        <w:t xml:space="preserve">, 1981, </w:t>
      </w:r>
      <w:r w:rsidRPr="005F0259">
        <w:rPr>
          <w:i/>
          <w:sz w:val="22"/>
          <w:szCs w:val="22"/>
        </w:rPr>
        <w:t>Gattacceca et al</w:t>
      </w:r>
      <w:r w:rsidRPr="005F0259">
        <w:rPr>
          <w:sz w:val="22"/>
          <w:szCs w:val="22"/>
        </w:rPr>
        <w:t>., 2007); basalts, basaltic andesites and andesites in Bosano-Logudoro-Capo Marargiu (site 8). In</w:t>
      </w:r>
      <w:r w:rsidRPr="0064535E">
        <w:rPr>
          <w:sz w:val="22"/>
          <w:szCs w:val="22"/>
        </w:rPr>
        <w:t xml:space="preserve"> Provence are present andesites, dacites and subvolcanic microdiorites (sites 3, 4). Andesite and dacite are lava flows (samples 77S4F, Est96-2, PR4), gabbro xenolith is present in dacite lava (sample PR7a from Esterel area), and andesite clasts (in the Villeneuve-Loubet conglomerate near Nice (sample PR2) (see note at foot of a previous page).</w:t>
      </w:r>
    </w:p>
    <w:p w:rsidR="00564975" w:rsidRPr="005F0259" w:rsidRDefault="00564975" w:rsidP="00564975">
      <w:pPr>
        <w:spacing w:line="240" w:lineRule="auto"/>
        <w:ind w:firstLine="709"/>
        <w:rPr>
          <w:sz w:val="22"/>
          <w:szCs w:val="22"/>
        </w:rPr>
      </w:pPr>
      <w:r w:rsidRPr="005F0259">
        <w:rPr>
          <w:sz w:val="22"/>
          <w:szCs w:val="22"/>
        </w:rPr>
        <w:t xml:space="preserve">In Valencia basin, to the west of Catalan-Tunisian fracture zone offshore exploration wells sampled early Miocene sediments bearing pyroclastics of andesitic to rhyolitic composition (site 1; </w:t>
      </w:r>
      <w:r w:rsidRPr="005F0259">
        <w:rPr>
          <w:i/>
          <w:sz w:val="22"/>
          <w:szCs w:val="22"/>
        </w:rPr>
        <w:t>Marti’ et al</w:t>
      </w:r>
      <w:r w:rsidRPr="005F0259">
        <w:rPr>
          <w:sz w:val="22"/>
          <w:szCs w:val="22"/>
        </w:rPr>
        <w:t>., 1992). The DSDP hole 123 drilled pyroclastics (site 2; samples n. 2/6a and 2/6b) of dacitic and rhyolitic composition which yielded K/Ar dates of 24.4, 21.9 and 20.8 Ma (</w:t>
      </w:r>
      <w:r w:rsidRPr="005F0259">
        <w:rPr>
          <w:i/>
          <w:sz w:val="22"/>
          <w:szCs w:val="22"/>
        </w:rPr>
        <w:t>Ryan et al</w:t>
      </w:r>
      <w:r w:rsidRPr="005F0259">
        <w:rPr>
          <w:sz w:val="22"/>
          <w:szCs w:val="22"/>
        </w:rPr>
        <w:t>., 1972).</w:t>
      </w:r>
    </w:p>
    <w:p w:rsidR="00564975" w:rsidRPr="005F0259" w:rsidRDefault="00564975" w:rsidP="003043B5">
      <w:pPr>
        <w:spacing w:line="240" w:lineRule="auto"/>
        <w:ind w:left="720"/>
        <w:rPr>
          <w:sz w:val="22"/>
          <w:szCs w:val="22"/>
          <w:u w:val="dash"/>
        </w:rPr>
      </w:pPr>
      <w:r w:rsidRPr="005F0259">
        <w:rPr>
          <w:sz w:val="22"/>
          <w:szCs w:val="22"/>
          <w:u w:val="dash"/>
        </w:rPr>
        <w:t xml:space="preserve">Mediterranean Orogen of Alpine age </w:t>
      </w:r>
    </w:p>
    <w:p w:rsidR="00564975" w:rsidRPr="005F0259" w:rsidRDefault="00564975" w:rsidP="00564975">
      <w:pPr>
        <w:spacing w:line="240" w:lineRule="auto"/>
        <w:ind w:firstLine="720"/>
        <w:rPr>
          <w:sz w:val="22"/>
          <w:szCs w:val="22"/>
        </w:rPr>
      </w:pPr>
      <w:r w:rsidRPr="005F0259">
        <w:rPr>
          <w:sz w:val="22"/>
          <w:szCs w:val="22"/>
        </w:rPr>
        <w:t>West of the Catalan-Tunisian fracture zone, ca. 24.8 to 20.8 Ma old leuco-granite clasts are present in the Betic area (site 10;</w:t>
      </w:r>
      <w:r w:rsidRPr="005F0259">
        <w:rPr>
          <w:i/>
          <w:sz w:val="22"/>
          <w:szCs w:val="22"/>
        </w:rPr>
        <w:t xml:space="preserve"> Bellon et al</w:t>
      </w:r>
      <w:r w:rsidRPr="005F0259">
        <w:rPr>
          <w:sz w:val="22"/>
          <w:szCs w:val="22"/>
        </w:rPr>
        <w:t xml:space="preserve">., 1983). Rhyolitic pyroclastics (22-21 Ma, site 9) and volcanogenic turbidites show Aquitanian-Burdigalian age (Algeciras, </w:t>
      </w:r>
      <w:r w:rsidRPr="005F0259">
        <w:rPr>
          <w:i/>
          <w:sz w:val="22"/>
          <w:szCs w:val="22"/>
        </w:rPr>
        <w:t>site 2 - in italics</w:t>
      </w:r>
      <w:r w:rsidRPr="005F0259">
        <w:rPr>
          <w:sz w:val="22"/>
          <w:szCs w:val="22"/>
        </w:rPr>
        <w:t>, Fig. 3). In the Algerian Maghreb, the granodiorite from Bejaja-Amizour (Great Kabylia) and the granitoid from Beni Toufout (Little Kabylia) show late Oligocene (24.4 Ma; site 11) and Aquitanian age (22 Ma; site 12), respectively (</w:t>
      </w:r>
      <w:r w:rsidRPr="005F0259">
        <w:rPr>
          <w:i/>
          <w:sz w:val="22"/>
          <w:szCs w:val="22"/>
        </w:rPr>
        <w:t>Bellon</w:t>
      </w:r>
      <w:r w:rsidRPr="005F0259">
        <w:rPr>
          <w:sz w:val="22"/>
          <w:szCs w:val="22"/>
        </w:rPr>
        <w:t>, 1981). These intrusions are slightly younger than the peak thermo-metamorphism of the Kabylia crystalline basement which is dated at ca. 25 Ma (</w:t>
      </w:r>
      <w:r w:rsidRPr="005F0259">
        <w:rPr>
          <w:i/>
          <w:sz w:val="22"/>
          <w:szCs w:val="22"/>
        </w:rPr>
        <w:t>Monie’ et al.,</w:t>
      </w:r>
      <w:r w:rsidRPr="005F0259">
        <w:rPr>
          <w:sz w:val="22"/>
          <w:szCs w:val="22"/>
        </w:rPr>
        <w:t xml:space="preserve"> 1995).</w:t>
      </w:r>
    </w:p>
    <w:p w:rsidR="00564975" w:rsidRPr="005F0259" w:rsidRDefault="00564975" w:rsidP="00564975">
      <w:pPr>
        <w:spacing w:line="240" w:lineRule="auto"/>
        <w:rPr>
          <w:i/>
          <w:shadow/>
          <w:sz w:val="22"/>
          <w:szCs w:val="22"/>
          <w:u w:val="single"/>
          <w:lang w:val="it-IT"/>
        </w:rPr>
      </w:pPr>
      <w:r w:rsidRPr="005F0259">
        <w:rPr>
          <w:i/>
          <w:shadow/>
          <w:sz w:val="22"/>
          <w:szCs w:val="22"/>
          <w:u w:val="single"/>
          <w:lang w:val="it-IT"/>
        </w:rPr>
        <w:t>Langhian - Tortonian (ca. 16 - 7.5 Ma)</w:t>
      </w:r>
    </w:p>
    <w:p w:rsidR="00564975" w:rsidRPr="005F0259" w:rsidRDefault="00564975" w:rsidP="003043B5">
      <w:pPr>
        <w:spacing w:line="240" w:lineRule="auto"/>
        <w:ind w:left="720"/>
        <w:rPr>
          <w:sz w:val="22"/>
          <w:szCs w:val="22"/>
          <w:u w:val="dash"/>
          <w:lang w:val="it-IT"/>
        </w:rPr>
      </w:pPr>
      <w:r w:rsidRPr="005F0259">
        <w:rPr>
          <w:sz w:val="22"/>
          <w:szCs w:val="22"/>
          <w:u w:val="dash"/>
          <w:lang w:val="it-IT"/>
        </w:rPr>
        <w:t xml:space="preserve"> European Plate</w:t>
      </w:r>
    </w:p>
    <w:p w:rsidR="00564975" w:rsidRPr="005F0259" w:rsidRDefault="00564975" w:rsidP="00564975">
      <w:pPr>
        <w:spacing w:line="240" w:lineRule="auto"/>
        <w:ind w:firstLine="851"/>
        <w:rPr>
          <w:sz w:val="22"/>
          <w:szCs w:val="22"/>
        </w:rPr>
      </w:pPr>
      <w:r w:rsidRPr="005F0259">
        <w:rPr>
          <w:sz w:val="22"/>
          <w:szCs w:val="22"/>
        </w:rPr>
        <w:t xml:space="preserve">Ignimbritic rhyodacites and andesites (sites 42, 43), comendites (site 44), and andesites (near to s. 6) crop out in northern, southwestern and southern Sardinia respectively. Shoshonites are found in the Sardinian offshore (site 45; sample Sar1.03; </w:t>
      </w:r>
      <w:r w:rsidRPr="005F0259">
        <w:rPr>
          <w:i/>
          <w:sz w:val="22"/>
          <w:szCs w:val="22"/>
        </w:rPr>
        <w:t>Mascle et al</w:t>
      </w:r>
      <w:r w:rsidRPr="005F0259">
        <w:rPr>
          <w:sz w:val="22"/>
          <w:szCs w:val="22"/>
        </w:rPr>
        <w:t>., 2001) and andesites in the Ligurian offshore (</w:t>
      </w:r>
      <w:r w:rsidRPr="005F0259">
        <w:rPr>
          <w:i/>
          <w:sz w:val="22"/>
          <w:szCs w:val="22"/>
        </w:rPr>
        <w:t>Rollet et al</w:t>
      </w:r>
      <w:r w:rsidRPr="005F0259">
        <w:rPr>
          <w:sz w:val="22"/>
          <w:szCs w:val="22"/>
        </w:rPr>
        <w:t>., 2002; p. -17).</w:t>
      </w:r>
    </w:p>
    <w:p w:rsidR="00564975" w:rsidRPr="005F0259" w:rsidRDefault="00564975" w:rsidP="00564975">
      <w:pPr>
        <w:spacing w:line="240" w:lineRule="auto"/>
        <w:rPr>
          <w:sz w:val="22"/>
          <w:szCs w:val="22"/>
          <w:u w:val="dash"/>
        </w:rPr>
      </w:pPr>
      <w:r w:rsidRPr="005F0259">
        <w:rPr>
          <w:sz w:val="22"/>
          <w:szCs w:val="22"/>
        </w:rPr>
        <w:tab/>
      </w:r>
      <w:r w:rsidRPr="005F0259">
        <w:rPr>
          <w:sz w:val="22"/>
          <w:szCs w:val="22"/>
          <w:u w:val="dash"/>
        </w:rPr>
        <w:t>Mediterranean Orogen of Alpine age</w:t>
      </w:r>
    </w:p>
    <w:p w:rsidR="00564975" w:rsidRPr="005F0259" w:rsidRDefault="00564975" w:rsidP="00564975">
      <w:pPr>
        <w:spacing w:line="240" w:lineRule="auto"/>
        <w:ind w:firstLine="720"/>
        <w:rPr>
          <w:sz w:val="22"/>
          <w:szCs w:val="22"/>
        </w:rPr>
      </w:pPr>
      <w:r w:rsidRPr="005F0259">
        <w:rPr>
          <w:sz w:val="22"/>
          <w:szCs w:val="22"/>
          <w:u w:val="dotted"/>
        </w:rPr>
        <w:t xml:space="preserve">Alboran region </w:t>
      </w:r>
      <w:r w:rsidRPr="005F0259">
        <w:rPr>
          <w:sz w:val="22"/>
          <w:szCs w:val="22"/>
        </w:rPr>
        <w:t>West of the Catalan-Tunisian fracture zone, magmas erupted mostly along lineation zones trending SW-NE (</w:t>
      </w:r>
      <w:r w:rsidRPr="005F0259">
        <w:rPr>
          <w:i/>
          <w:sz w:val="22"/>
          <w:szCs w:val="22"/>
        </w:rPr>
        <w:t>Hernandez et al</w:t>
      </w:r>
      <w:r w:rsidRPr="005F0259">
        <w:rPr>
          <w:sz w:val="22"/>
          <w:szCs w:val="22"/>
        </w:rPr>
        <w:t xml:space="preserve">., 1987; </w:t>
      </w:r>
      <w:r w:rsidRPr="005F0259">
        <w:rPr>
          <w:i/>
          <w:sz w:val="22"/>
          <w:szCs w:val="22"/>
        </w:rPr>
        <w:t>Duggen et al</w:t>
      </w:r>
      <w:r w:rsidRPr="005F0259">
        <w:rPr>
          <w:sz w:val="22"/>
          <w:szCs w:val="22"/>
        </w:rPr>
        <w:t>., 2004), W-E (</w:t>
      </w:r>
      <w:r w:rsidRPr="005F0259">
        <w:rPr>
          <w:i/>
          <w:sz w:val="22"/>
          <w:szCs w:val="22"/>
        </w:rPr>
        <w:t>Torres Roldan et al</w:t>
      </w:r>
      <w:r w:rsidRPr="005F0259">
        <w:rPr>
          <w:sz w:val="22"/>
          <w:szCs w:val="22"/>
        </w:rPr>
        <w:t>., 1986) and WSW-ENE (</w:t>
      </w:r>
      <w:r w:rsidRPr="005F0259">
        <w:rPr>
          <w:i/>
          <w:sz w:val="22"/>
          <w:szCs w:val="22"/>
        </w:rPr>
        <w:t>Hoernle et al</w:t>
      </w:r>
      <w:r w:rsidRPr="005F0259">
        <w:rPr>
          <w:sz w:val="22"/>
          <w:szCs w:val="22"/>
        </w:rPr>
        <w:t>., 1999). The SW-NE lineation (Trans-Alboran fracture zone) extends from the Trois Fourches promontory of Morocco to the Betic area of Cabo de Gata (sites 30, 26, 27). Along such lineation ODP Hole 977 (site 15) recovered gravel pebbles which have dacite, basalt (sample 7523) and rhyolite composition (sample 7521) and ages between 12.1 and 9.3 Ma (</w:t>
      </w:r>
      <w:r w:rsidRPr="005F0259">
        <w:rPr>
          <w:i/>
          <w:sz w:val="22"/>
          <w:szCs w:val="22"/>
        </w:rPr>
        <w:t>Hoernle et al</w:t>
      </w:r>
      <w:r w:rsidRPr="005F0259">
        <w:rPr>
          <w:sz w:val="22"/>
          <w:szCs w:val="22"/>
        </w:rPr>
        <w:t xml:space="preserve">., 1999; </w:t>
      </w:r>
      <w:r w:rsidRPr="005F0259">
        <w:rPr>
          <w:i/>
          <w:sz w:val="22"/>
          <w:szCs w:val="22"/>
        </w:rPr>
        <w:t>Duggen et al</w:t>
      </w:r>
      <w:r w:rsidRPr="005F0259">
        <w:rPr>
          <w:sz w:val="22"/>
          <w:szCs w:val="22"/>
        </w:rPr>
        <w:t>., 2004). Pebbles from Hole 978 (near to s. 15) exhibit composition from basalt to rhyolite and serial type ranging from tholeiite to shoshonite (</w:t>
      </w:r>
      <w:r w:rsidRPr="005F0259">
        <w:rPr>
          <w:i/>
          <w:sz w:val="22"/>
          <w:szCs w:val="22"/>
        </w:rPr>
        <w:t>Hoernle et al</w:t>
      </w:r>
      <w:r w:rsidRPr="005F0259">
        <w:rPr>
          <w:sz w:val="22"/>
          <w:szCs w:val="22"/>
        </w:rPr>
        <w:t xml:space="preserve">., 1999). The pebbles below early Pliocene sediment of ODP Holes 977 and 978 probably derived from the widespread late Miocene erosion process. At the Yusuf ridge is present andesite (10.7 Ma; sample CYA 5-6) and at Mansour seamount basaltic andesite (8.7 Ma: sample POS III-D-1; </w:t>
      </w:r>
      <w:r w:rsidRPr="005F0259">
        <w:rPr>
          <w:rStyle w:val="CarattereCarattere"/>
          <w:i/>
          <w:iCs/>
          <w:sz w:val="22"/>
          <w:szCs w:val="22"/>
        </w:rPr>
        <w:t>Duggen et al</w:t>
      </w:r>
      <w:r w:rsidRPr="005F0259">
        <w:rPr>
          <w:sz w:val="22"/>
          <w:szCs w:val="22"/>
        </w:rPr>
        <w:t xml:space="preserve">., 2004). Sea-floor rhyolites (9.4-9.3 Ma; site 26; sample </w:t>
      </w:r>
      <w:r w:rsidRPr="005F0259">
        <w:rPr>
          <w:rFonts w:eastAsia="Times New Roman"/>
          <w:sz w:val="22"/>
          <w:szCs w:val="22"/>
          <w:lang w:eastAsia="en-GB"/>
        </w:rPr>
        <w:t>CYA3-11</w:t>
      </w:r>
      <w:r w:rsidRPr="005F0259">
        <w:rPr>
          <w:sz w:val="22"/>
          <w:szCs w:val="22"/>
        </w:rPr>
        <w:t>) accompanied by subaerial tholeiitic lavas and andesitic pyroclastics are present along the lineation trending WSW-ENE of the submerged ridge near to the Alboran island (</w:t>
      </w:r>
      <w:r w:rsidRPr="005F0259">
        <w:rPr>
          <w:i/>
          <w:sz w:val="22"/>
          <w:szCs w:val="22"/>
        </w:rPr>
        <w:t>Duggen et al</w:t>
      </w:r>
      <w:r w:rsidRPr="005F0259">
        <w:rPr>
          <w:sz w:val="22"/>
          <w:szCs w:val="22"/>
        </w:rPr>
        <w:t xml:space="preserve">., 2004; </w:t>
      </w:r>
      <w:r w:rsidRPr="005F0259">
        <w:rPr>
          <w:i/>
          <w:sz w:val="22"/>
          <w:szCs w:val="22"/>
        </w:rPr>
        <w:t>Gill et al</w:t>
      </w:r>
      <w:r w:rsidRPr="005F0259">
        <w:rPr>
          <w:sz w:val="22"/>
          <w:szCs w:val="22"/>
        </w:rPr>
        <w:t xml:space="preserve">., 2004). </w:t>
      </w:r>
    </w:p>
    <w:p w:rsidR="00564975" w:rsidRPr="005F0259" w:rsidRDefault="00564975" w:rsidP="00564975">
      <w:pPr>
        <w:spacing w:line="240" w:lineRule="auto"/>
        <w:ind w:firstLine="709"/>
        <w:rPr>
          <w:sz w:val="22"/>
          <w:szCs w:val="22"/>
        </w:rPr>
      </w:pPr>
      <w:r w:rsidRPr="005F0259">
        <w:rPr>
          <w:sz w:val="22"/>
          <w:szCs w:val="22"/>
          <w:u w:val="dotted"/>
        </w:rPr>
        <w:lastRenderedPageBreak/>
        <w:t xml:space="preserve">Betic region. </w:t>
      </w:r>
      <w:r w:rsidRPr="005F0259">
        <w:rPr>
          <w:sz w:val="22"/>
          <w:szCs w:val="22"/>
        </w:rPr>
        <w:t xml:space="preserve">Volcanic activity was intense in the Betic region between ca. 12 and 9 Ma. The 8.9, 8.8 Ma old basalt and latite of Mazarron (site 28) show high-K calc-alkaline and shoshonitic type, respectively (samples B302 and MAZ8; </w:t>
      </w:r>
      <w:r w:rsidRPr="005F0259">
        <w:rPr>
          <w:i/>
          <w:sz w:val="22"/>
          <w:szCs w:val="22"/>
        </w:rPr>
        <w:t>Benito et al</w:t>
      </w:r>
      <w:r w:rsidRPr="005F0259">
        <w:rPr>
          <w:sz w:val="22"/>
          <w:szCs w:val="22"/>
        </w:rPr>
        <w:t xml:space="preserve">., 1999; </w:t>
      </w:r>
      <w:r w:rsidRPr="005F0259">
        <w:rPr>
          <w:i/>
          <w:sz w:val="22"/>
          <w:szCs w:val="22"/>
        </w:rPr>
        <w:t>Turner et al.</w:t>
      </w:r>
      <w:r w:rsidRPr="005F0259">
        <w:rPr>
          <w:sz w:val="22"/>
          <w:szCs w:val="22"/>
        </w:rPr>
        <w:t xml:space="preserve">, 1999). Granodiorites, diorites, rhyolites, dacites, andesites, basaltic andesites and basalts erupted in the time span from ca. 15 to 8-7 Ma in the Cabo de Gata region (site 27; </w:t>
      </w:r>
      <w:r w:rsidRPr="005F0259">
        <w:rPr>
          <w:i/>
          <w:sz w:val="22"/>
          <w:szCs w:val="22"/>
        </w:rPr>
        <w:t>Bellon et al</w:t>
      </w:r>
      <w:r w:rsidRPr="005F0259">
        <w:rPr>
          <w:sz w:val="22"/>
          <w:szCs w:val="22"/>
        </w:rPr>
        <w:t xml:space="preserve">., 1983; </w:t>
      </w:r>
      <w:r w:rsidRPr="005F0259">
        <w:rPr>
          <w:i/>
          <w:sz w:val="22"/>
          <w:szCs w:val="22"/>
        </w:rPr>
        <w:t>Di Battistini et al</w:t>
      </w:r>
      <w:r w:rsidRPr="005F0259">
        <w:rPr>
          <w:sz w:val="22"/>
          <w:szCs w:val="22"/>
        </w:rPr>
        <w:t xml:space="preserve">., 1987; </w:t>
      </w:r>
      <w:r w:rsidRPr="005F0259">
        <w:rPr>
          <w:i/>
          <w:sz w:val="22"/>
          <w:szCs w:val="22"/>
        </w:rPr>
        <w:t>Hernandez et al</w:t>
      </w:r>
      <w:r w:rsidRPr="005F0259">
        <w:rPr>
          <w:sz w:val="22"/>
          <w:szCs w:val="22"/>
        </w:rPr>
        <w:t xml:space="preserve">., 1987; </w:t>
      </w:r>
      <w:r w:rsidRPr="005F0259">
        <w:rPr>
          <w:i/>
          <w:iCs/>
          <w:sz w:val="22"/>
          <w:szCs w:val="22"/>
        </w:rPr>
        <w:t>Turner et al</w:t>
      </w:r>
      <w:r w:rsidRPr="005F0259">
        <w:rPr>
          <w:sz w:val="22"/>
          <w:szCs w:val="22"/>
        </w:rPr>
        <w:t>., 1999). The ca. 1000 m thick CA lavas of Cabo de Gata exhibit K/Ar age between 15.2 and 7.9 Ma (</w:t>
      </w:r>
      <w:r w:rsidRPr="005F0259">
        <w:rPr>
          <w:i/>
          <w:sz w:val="22"/>
          <w:szCs w:val="22"/>
        </w:rPr>
        <w:t>Bellon et al</w:t>
      </w:r>
      <w:r w:rsidRPr="005F0259">
        <w:rPr>
          <w:sz w:val="22"/>
          <w:szCs w:val="22"/>
        </w:rPr>
        <w:t xml:space="preserve">., 1983). </w:t>
      </w:r>
      <w:r w:rsidRPr="005F0259">
        <w:rPr>
          <w:i/>
          <w:sz w:val="22"/>
          <w:szCs w:val="22"/>
        </w:rPr>
        <w:t>Di Battistini et alii</w:t>
      </w:r>
      <w:r w:rsidRPr="005F0259">
        <w:rPr>
          <w:sz w:val="22"/>
          <w:szCs w:val="22"/>
        </w:rPr>
        <w:t xml:space="preserve"> (1987) report that 12.1 to 9.2 Ma old amphibole-bearing andesites dacites and rhyolites overlie pyroxene-bearing andesites (8.7 to 7.5 Ma; samples CG200 599-9, Sp317, Sp333, Sp253).</w:t>
      </w:r>
    </w:p>
    <w:p w:rsidR="00564975" w:rsidRPr="005F0259" w:rsidRDefault="00564975" w:rsidP="00564975">
      <w:pPr>
        <w:spacing w:line="240" w:lineRule="auto"/>
        <w:ind w:firstLine="709"/>
        <w:rPr>
          <w:sz w:val="22"/>
          <w:szCs w:val="22"/>
        </w:rPr>
      </w:pPr>
      <w:r w:rsidRPr="005F0259">
        <w:rPr>
          <w:sz w:val="22"/>
          <w:szCs w:val="22"/>
          <w:u w:val="dotted"/>
        </w:rPr>
        <w:t xml:space="preserve">Morocco Rif. </w:t>
      </w:r>
      <w:r w:rsidRPr="005F0259">
        <w:rPr>
          <w:sz w:val="22"/>
          <w:szCs w:val="22"/>
        </w:rPr>
        <w:t>Pyroclastics and block lavas of basaltic-andesitic and andesitic, medium-K calc-alkaline composition from Ras Tarf (site 29; sample 116-72) yielded K/Ar dates of 15, 13.1, 12.1 Ma (</w:t>
      </w:r>
      <w:r w:rsidRPr="005F0259">
        <w:rPr>
          <w:i/>
          <w:sz w:val="22"/>
          <w:szCs w:val="22"/>
        </w:rPr>
        <w:t>Bellon</w:t>
      </w:r>
      <w:r w:rsidRPr="005F0259">
        <w:rPr>
          <w:sz w:val="22"/>
          <w:szCs w:val="22"/>
        </w:rPr>
        <w:t xml:space="preserve">, 1981; </w:t>
      </w:r>
      <w:r w:rsidRPr="005F0259">
        <w:rPr>
          <w:i/>
          <w:sz w:val="22"/>
          <w:szCs w:val="22"/>
        </w:rPr>
        <w:t>El Azzouzi et al</w:t>
      </w:r>
      <w:r w:rsidRPr="005F0259">
        <w:rPr>
          <w:sz w:val="22"/>
          <w:szCs w:val="22"/>
        </w:rPr>
        <w:t xml:space="preserve">., 1999; </w:t>
      </w:r>
      <w:r w:rsidRPr="005F0259">
        <w:rPr>
          <w:i/>
          <w:sz w:val="22"/>
          <w:szCs w:val="22"/>
        </w:rPr>
        <w:t>Maury et a</w:t>
      </w:r>
      <w:r w:rsidRPr="005F0259">
        <w:rPr>
          <w:sz w:val="22"/>
          <w:szCs w:val="22"/>
        </w:rPr>
        <w:t xml:space="preserve">l., 2000). More to the east at the southern end of Transalboran shear zone, rhyolites crop out in the Trois Fourches promontory (9.8 Ma; site 30; sample G44; </w:t>
      </w:r>
      <w:r w:rsidRPr="005F0259">
        <w:rPr>
          <w:i/>
          <w:sz w:val="22"/>
          <w:szCs w:val="22"/>
        </w:rPr>
        <w:t>El Bakkali et al</w:t>
      </w:r>
      <w:r w:rsidRPr="005F0259">
        <w:rPr>
          <w:sz w:val="22"/>
          <w:szCs w:val="22"/>
        </w:rPr>
        <w:t>., 1998). Rocks of high-K calc-alkaline, granodioritic and andesitic composition (samples G8, G1, G15) from the adjacent volcano/plutonic complex of Gourougou show ages of 8.1, 7.9, 7.7 Ma respectively (</w:t>
      </w:r>
      <w:r w:rsidRPr="005F0259">
        <w:rPr>
          <w:i/>
          <w:sz w:val="22"/>
          <w:szCs w:val="22"/>
        </w:rPr>
        <w:t>El Bakkali et al</w:t>
      </w:r>
      <w:r w:rsidRPr="005F0259">
        <w:rPr>
          <w:sz w:val="22"/>
          <w:szCs w:val="22"/>
        </w:rPr>
        <w:t xml:space="preserve">., 1998; </w:t>
      </w:r>
      <w:r w:rsidRPr="005F0259">
        <w:rPr>
          <w:i/>
          <w:sz w:val="22"/>
          <w:szCs w:val="22"/>
        </w:rPr>
        <w:t>El Azouzi et al</w:t>
      </w:r>
      <w:r w:rsidRPr="005F0259">
        <w:rPr>
          <w:sz w:val="22"/>
          <w:szCs w:val="22"/>
        </w:rPr>
        <w:t>., 1999). In addition, the Gourougou area is characterized by eruption of shoshonitic rocks showing composition from basalt to trachyte (samples G47, G74) and K/Ar age older than the Tortonian (between ca. 7.0 and 5.4 Ma).</w:t>
      </w:r>
    </w:p>
    <w:p w:rsidR="00564975" w:rsidRPr="005F0259" w:rsidRDefault="00564975" w:rsidP="00564975">
      <w:pPr>
        <w:spacing w:line="240" w:lineRule="auto"/>
        <w:ind w:firstLine="709"/>
        <w:rPr>
          <w:sz w:val="22"/>
          <w:szCs w:val="22"/>
        </w:rPr>
      </w:pPr>
      <w:r w:rsidRPr="005F0259">
        <w:rPr>
          <w:sz w:val="22"/>
          <w:szCs w:val="22"/>
          <w:u w:val="dotted"/>
        </w:rPr>
        <w:t xml:space="preserve">Algerian Maghreb. </w:t>
      </w:r>
      <w:r w:rsidRPr="005F0259">
        <w:rPr>
          <w:sz w:val="22"/>
          <w:szCs w:val="22"/>
        </w:rPr>
        <w:t xml:space="preserve">In the Great Kabilya region of Algeria (site 20) the pre-Langhian magmatics were followed by emplacement of latite dikes with age of 12.4 Ma. </w:t>
      </w:r>
      <w:r w:rsidRPr="005F0259">
        <w:rPr>
          <w:i/>
          <w:sz w:val="22"/>
          <w:szCs w:val="22"/>
        </w:rPr>
        <w:t xml:space="preserve">Louni Hacini et al. </w:t>
      </w:r>
      <w:r w:rsidRPr="005F0259">
        <w:rPr>
          <w:sz w:val="22"/>
          <w:szCs w:val="22"/>
        </w:rPr>
        <w:t>(1995) report K/Ar age of 15 Ma for the rhyolitic dome of Sahel of Oran (site 31) which was followed by high-K calc-alkaline andesites and dacites with K/Ar ages between 11.7 and 7.2 Ma (dike sample</w:t>
      </w:r>
      <w:r w:rsidRPr="00472FAF">
        <w:rPr>
          <w:sz w:val="22"/>
          <w:szCs w:val="22"/>
        </w:rPr>
        <w:t xml:space="preserve"> OR10), and 7.5 Ma old latites (site 32; latite dome of M’ Sirda; sample ORbd1). Rhyolitic dikes cutting the Thenia granodiorite of Burdigalian age (site 10a; sample T 36) have been dated 14-12 Ma. </w:t>
      </w:r>
      <w:r w:rsidRPr="00472FAF">
        <w:rPr>
          <w:i/>
          <w:sz w:val="22"/>
          <w:szCs w:val="22"/>
        </w:rPr>
        <w:t>Bellon</w:t>
      </w:r>
      <w:r w:rsidRPr="00472FAF">
        <w:rPr>
          <w:sz w:val="22"/>
          <w:szCs w:val="22"/>
        </w:rPr>
        <w:t xml:space="preserve"> (1981) indicates 16-15 Ma for the rhyolites and rhyodacites from Menacer area (site 36), </w:t>
      </w:r>
      <w:r w:rsidRPr="005F0259">
        <w:rPr>
          <w:i/>
          <w:sz w:val="22"/>
          <w:szCs w:val="22"/>
        </w:rPr>
        <w:t>Maury et alii</w:t>
      </w:r>
      <w:r w:rsidRPr="005F0259">
        <w:rPr>
          <w:sz w:val="22"/>
          <w:szCs w:val="22"/>
        </w:rPr>
        <w:t xml:space="preserve"> (2000) 13-11 Ma for K-rich granites from the Cherchel area (site 34) and </w:t>
      </w:r>
      <w:r w:rsidRPr="005F0259">
        <w:rPr>
          <w:i/>
          <w:sz w:val="22"/>
          <w:szCs w:val="22"/>
        </w:rPr>
        <w:t>Belanteur et alii.</w:t>
      </w:r>
      <w:r w:rsidRPr="005F0259">
        <w:rPr>
          <w:sz w:val="22"/>
          <w:szCs w:val="22"/>
        </w:rPr>
        <w:t xml:space="preserve"> (1995) 11.8 Ma for basaltic andesite from the area of Dellys (near to site 19; sample DLBO). According to </w:t>
      </w:r>
      <w:r w:rsidRPr="005F0259">
        <w:rPr>
          <w:i/>
          <w:sz w:val="22"/>
          <w:szCs w:val="22"/>
        </w:rPr>
        <w:t>Bellon</w:t>
      </w:r>
      <w:r w:rsidRPr="005F0259">
        <w:rPr>
          <w:sz w:val="22"/>
          <w:szCs w:val="22"/>
        </w:rPr>
        <w:t xml:space="preserve"> (1981) andesites and shoshonites of the Cherchel area (site 35) gave K/Ar ages of 13.1/12.4 and 9.0 Ma (respectively), and andesites of Kef Hahouner (site 39) 10.9/9.3 Ma. Ca. 15.3 Ma cordierite-bearing granitoids of Djebel Filfill (Little Kabylia; site n. 37; sample II-6) are of K-rich type. Granite and diorite crop out in Annaba (K/Ar age of 15.9 and 15.8 Ma; site 38, near to the western margin of Little Kabylia; </w:t>
      </w:r>
      <w:r w:rsidRPr="005F0259">
        <w:rPr>
          <w:i/>
          <w:sz w:val="22"/>
          <w:szCs w:val="22"/>
        </w:rPr>
        <w:t>Bellon</w:t>
      </w:r>
      <w:r w:rsidRPr="005F0259">
        <w:rPr>
          <w:sz w:val="22"/>
          <w:szCs w:val="22"/>
        </w:rPr>
        <w:t xml:space="preserve">, 1981); gabbros in Cap de Fer-Annaba (sample VPE-271) and basalts in Cap Djinet (13.7 and 12.2 Ma; site 36; samples Dj2, Dj1; </w:t>
      </w:r>
      <w:r w:rsidRPr="005F0259">
        <w:rPr>
          <w:i/>
          <w:sz w:val="22"/>
          <w:szCs w:val="22"/>
        </w:rPr>
        <w:t>Fourcade et al</w:t>
      </w:r>
      <w:r w:rsidRPr="005F0259">
        <w:rPr>
          <w:sz w:val="22"/>
          <w:szCs w:val="22"/>
        </w:rPr>
        <w:t>., 2001).</w:t>
      </w:r>
    </w:p>
    <w:p w:rsidR="00564975" w:rsidRPr="005F0259" w:rsidRDefault="00564975" w:rsidP="00564975">
      <w:pPr>
        <w:spacing w:line="240" w:lineRule="auto"/>
        <w:ind w:firstLine="709"/>
        <w:rPr>
          <w:sz w:val="22"/>
          <w:szCs w:val="22"/>
        </w:rPr>
      </w:pPr>
      <w:r w:rsidRPr="005F0259">
        <w:rPr>
          <w:sz w:val="22"/>
          <w:szCs w:val="22"/>
          <w:u w:val="dotted"/>
        </w:rPr>
        <w:t xml:space="preserve">Tunisia. </w:t>
      </w:r>
      <w:r w:rsidRPr="005F0259">
        <w:rPr>
          <w:sz w:val="22"/>
          <w:szCs w:val="22"/>
        </w:rPr>
        <w:t>The ca. 13 Ma old cordierite-bearing granitoid intrusion of Oued Belif (site 40; Nefza region) was followed by eruption of dacites and rhyodacites between ca. 12.9 - 8.2 Ma; cordierite-bearing, K-rich granitoids and rhyolites crop out in the island of La Galite (ca. 14.2 and 10 Ma; site n. 41;</w:t>
      </w:r>
      <w:r w:rsidRPr="005F0259">
        <w:rPr>
          <w:i/>
          <w:sz w:val="22"/>
          <w:szCs w:val="22"/>
        </w:rPr>
        <w:t xml:space="preserve"> Bellon</w:t>
      </w:r>
      <w:r w:rsidRPr="005F0259">
        <w:rPr>
          <w:sz w:val="22"/>
          <w:szCs w:val="22"/>
        </w:rPr>
        <w:t xml:space="preserve">, 1981; </w:t>
      </w:r>
      <w:r w:rsidRPr="005F0259">
        <w:rPr>
          <w:i/>
          <w:sz w:val="22"/>
          <w:szCs w:val="22"/>
        </w:rPr>
        <w:t>Maury et al</w:t>
      </w:r>
      <w:r w:rsidRPr="005F0259">
        <w:rPr>
          <w:sz w:val="22"/>
          <w:szCs w:val="22"/>
        </w:rPr>
        <w:t>., 2000).</w:t>
      </w:r>
    </w:p>
    <w:p w:rsidR="00564975" w:rsidRPr="005F0259" w:rsidRDefault="00564975" w:rsidP="00564975">
      <w:pPr>
        <w:spacing w:line="240" w:lineRule="auto"/>
        <w:ind w:firstLine="709"/>
        <w:rPr>
          <w:sz w:val="22"/>
          <w:szCs w:val="22"/>
        </w:rPr>
      </w:pPr>
      <w:r w:rsidRPr="005F0259">
        <w:rPr>
          <w:sz w:val="22"/>
          <w:szCs w:val="22"/>
          <w:u w:val="dotted"/>
        </w:rPr>
        <w:t xml:space="preserve">NE Corsica. </w:t>
      </w:r>
      <w:r w:rsidRPr="005F0259">
        <w:rPr>
          <w:sz w:val="22"/>
          <w:szCs w:val="22"/>
        </w:rPr>
        <w:t xml:space="preserve">East of the Catalan-Tunisian fracture zone, at Sisco crops out a dike body showing lamproitic composition and K/Ar age of ca. 15.0 Ma (site n. 46; </w:t>
      </w:r>
      <w:r w:rsidRPr="005F0259">
        <w:rPr>
          <w:i/>
          <w:sz w:val="22"/>
          <w:szCs w:val="22"/>
        </w:rPr>
        <w:t>Civetta et al</w:t>
      </w:r>
      <w:r w:rsidRPr="005F0259">
        <w:rPr>
          <w:sz w:val="22"/>
          <w:szCs w:val="22"/>
        </w:rPr>
        <w:t>., 1978;</w:t>
      </w:r>
      <w:r w:rsidRPr="005F0259">
        <w:rPr>
          <w:i/>
          <w:sz w:val="22"/>
          <w:szCs w:val="22"/>
        </w:rPr>
        <w:t xml:space="preserve"> Savelli</w:t>
      </w:r>
      <w:r w:rsidRPr="005F0259">
        <w:rPr>
          <w:sz w:val="22"/>
          <w:szCs w:val="22"/>
        </w:rPr>
        <w:t xml:space="preserve">, 2000; </w:t>
      </w:r>
      <w:r w:rsidRPr="005F0259">
        <w:rPr>
          <w:i/>
          <w:sz w:val="22"/>
          <w:szCs w:val="22"/>
        </w:rPr>
        <w:t>Conticelli et al</w:t>
      </w:r>
      <w:r w:rsidRPr="005F0259">
        <w:rPr>
          <w:sz w:val="22"/>
          <w:szCs w:val="22"/>
        </w:rPr>
        <w:t xml:space="preserve">., 2007, 2009). This rock has high contents of compatible (K, Rb, Th, Sr, Ba), incompatible (Mg, Cr, Ni) and light rare earth elements, as well as high Sr (0.71228) and low Nd (0.51215/6) initial isotopic ratios (Tab. 1). </w:t>
      </w:r>
    </w:p>
    <w:p w:rsidR="00564975" w:rsidRPr="005F0259" w:rsidRDefault="00564975" w:rsidP="00564975">
      <w:pPr>
        <w:spacing w:line="240" w:lineRule="auto"/>
        <w:rPr>
          <w:i/>
          <w:shadow/>
          <w:sz w:val="22"/>
          <w:szCs w:val="22"/>
          <w:u w:val="single"/>
          <w:lang w:val="it-IT"/>
        </w:rPr>
      </w:pPr>
      <w:r w:rsidRPr="005F0259">
        <w:rPr>
          <w:i/>
          <w:shadow/>
          <w:sz w:val="22"/>
          <w:szCs w:val="22"/>
          <w:u w:val="single"/>
          <w:lang w:val="it-IT"/>
        </w:rPr>
        <w:t>Pliocene (ca. 5.4 - 1.8 Ma; Tyrrhenian area)</w:t>
      </w:r>
    </w:p>
    <w:p w:rsidR="00564975" w:rsidRPr="005F0259" w:rsidRDefault="00564975" w:rsidP="00564975">
      <w:pPr>
        <w:spacing w:line="240" w:lineRule="auto"/>
        <w:ind w:firstLine="709"/>
        <w:rPr>
          <w:sz w:val="22"/>
          <w:szCs w:val="22"/>
        </w:rPr>
      </w:pPr>
      <w:r w:rsidRPr="005F0259">
        <w:rPr>
          <w:sz w:val="22"/>
          <w:szCs w:val="22"/>
        </w:rPr>
        <w:t xml:space="preserve">Major sources of detailed documentation for the Pliocene and Quaternary magmatic episodes in and around the Tyrrhenian sea (Figs. 6, 7) are found in </w:t>
      </w:r>
      <w:r w:rsidRPr="005F0259">
        <w:rPr>
          <w:i/>
          <w:sz w:val="22"/>
          <w:szCs w:val="22"/>
        </w:rPr>
        <w:t>Selli et alii</w:t>
      </w:r>
      <w:r w:rsidRPr="005F0259">
        <w:rPr>
          <w:sz w:val="22"/>
          <w:szCs w:val="22"/>
        </w:rPr>
        <w:t xml:space="preserve"> (1977), </w:t>
      </w:r>
      <w:r w:rsidRPr="005F0259">
        <w:rPr>
          <w:i/>
          <w:sz w:val="22"/>
          <w:szCs w:val="22"/>
        </w:rPr>
        <w:t>Savelli</w:t>
      </w:r>
      <w:r w:rsidRPr="005F0259">
        <w:rPr>
          <w:sz w:val="22"/>
          <w:szCs w:val="22"/>
        </w:rPr>
        <w:t xml:space="preserve"> (1984, 2002), </w:t>
      </w:r>
      <w:r w:rsidRPr="005F0259">
        <w:rPr>
          <w:i/>
          <w:sz w:val="22"/>
          <w:szCs w:val="22"/>
        </w:rPr>
        <w:t>Serri et alii</w:t>
      </w:r>
      <w:r w:rsidRPr="005F0259">
        <w:rPr>
          <w:sz w:val="22"/>
          <w:szCs w:val="22"/>
        </w:rPr>
        <w:t xml:space="preserve"> (1993), </w:t>
      </w:r>
      <w:r w:rsidRPr="005F0259">
        <w:rPr>
          <w:i/>
          <w:sz w:val="22"/>
          <w:szCs w:val="22"/>
        </w:rPr>
        <w:t>Faggioni et alii</w:t>
      </w:r>
      <w:r w:rsidRPr="005F0259">
        <w:rPr>
          <w:sz w:val="22"/>
          <w:szCs w:val="22"/>
        </w:rPr>
        <w:t xml:space="preserve"> (1995), </w:t>
      </w:r>
      <w:r w:rsidRPr="005F0259">
        <w:rPr>
          <w:i/>
          <w:sz w:val="22"/>
          <w:szCs w:val="22"/>
        </w:rPr>
        <w:t>Argnani and Savelli</w:t>
      </w:r>
      <w:r w:rsidRPr="005F0259">
        <w:rPr>
          <w:sz w:val="22"/>
          <w:szCs w:val="22"/>
        </w:rPr>
        <w:t xml:space="preserve">, (1999, 2001), </w:t>
      </w:r>
      <w:r w:rsidRPr="005F0259">
        <w:rPr>
          <w:i/>
          <w:sz w:val="22"/>
          <w:szCs w:val="22"/>
        </w:rPr>
        <w:t>Peccerillo</w:t>
      </w:r>
      <w:r w:rsidRPr="005F0259">
        <w:rPr>
          <w:sz w:val="22"/>
          <w:szCs w:val="22"/>
        </w:rPr>
        <w:t xml:space="preserve"> (1999), </w:t>
      </w:r>
      <w:r w:rsidRPr="005F0259">
        <w:rPr>
          <w:i/>
          <w:sz w:val="22"/>
          <w:szCs w:val="22"/>
        </w:rPr>
        <w:t>Sartori et alii</w:t>
      </w:r>
      <w:r w:rsidRPr="005F0259">
        <w:rPr>
          <w:sz w:val="22"/>
          <w:szCs w:val="22"/>
        </w:rPr>
        <w:t xml:space="preserve"> (2004). After the calc-alkaline volcanic cycle of Oligocene - Langhian age and ca. 7 Ma of magmatic quiescence, Sardinia was affected by basaltic volcanism showing alkaline nature and age from ca. 5.4 to 1.8 Ma (</w:t>
      </w:r>
      <w:r w:rsidRPr="005F0259">
        <w:rPr>
          <w:i/>
          <w:sz w:val="22"/>
          <w:szCs w:val="22"/>
        </w:rPr>
        <w:t>Beccaluva et al</w:t>
      </w:r>
      <w:r w:rsidRPr="005F0259">
        <w:rPr>
          <w:sz w:val="22"/>
          <w:szCs w:val="22"/>
        </w:rPr>
        <w:t xml:space="preserve">., 1977; </w:t>
      </w:r>
      <w:r w:rsidRPr="005F0259">
        <w:rPr>
          <w:i/>
          <w:sz w:val="22"/>
          <w:szCs w:val="22"/>
        </w:rPr>
        <w:t>Savelli</w:t>
      </w:r>
      <w:r w:rsidRPr="005F0259">
        <w:rPr>
          <w:sz w:val="22"/>
          <w:szCs w:val="22"/>
        </w:rPr>
        <w:t xml:space="preserve">, 2002; </w:t>
      </w:r>
      <w:r w:rsidRPr="005F0259">
        <w:rPr>
          <w:i/>
          <w:sz w:val="22"/>
          <w:szCs w:val="22"/>
        </w:rPr>
        <w:t>Lustrino et al</w:t>
      </w:r>
      <w:r w:rsidRPr="005F0259">
        <w:rPr>
          <w:sz w:val="22"/>
          <w:szCs w:val="22"/>
        </w:rPr>
        <w:t>., 2004; and references therein). Pliocene basalt volcanism is widespread in the Tyrrhenian seafloor. Alkaline basalts (3.0-2.7 Ma) occur in Magnaghi seamount, MORB-type lavas in the Gortani ridge (4.1 Ma; ODP site 655) and calc-alkaline basalts (2.6 Ma) above ultramafic rock of ODP site 651A. The age of Vavilov volcano is &lt; 2.4 Ma if its magnetic anomaly belongs to the Matuyama chron. Figure 7 (main text) shows that Pliocene magmatics are present to the west of the Tuscan-Roman-Campanian area of abundant Quaternary volcanism. I</w:t>
      </w:r>
      <w:r w:rsidRPr="005F0259">
        <w:rPr>
          <w:rFonts w:eastAsia="Calibri"/>
          <w:sz w:val="22"/>
          <w:szCs w:val="22"/>
          <w:lang w:eastAsia="en-US"/>
        </w:rPr>
        <w:t xml:space="preserve">n the </w:t>
      </w:r>
      <w:r w:rsidRPr="005F0259">
        <w:rPr>
          <w:sz w:val="22"/>
          <w:szCs w:val="22"/>
        </w:rPr>
        <w:t xml:space="preserve">Aceste and Anchise seamounts </w:t>
      </w:r>
      <w:r w:rsidRPr="005F0259">
        <w:rPr>
          <w:rFonts w:eastAsia="Calibri"/>
          <w:sz w:val="22"/>
          <w:szCs w:val="22"/>
          <w:lang w:eastAsia="en-US"/>
        </w:rPr>
        <w:t>are found</w:t>
      </w:r>
      <w:r w:rsidRPr="005F0259">
        <w:rPr>
          <w:sz w:val="22"/>
          <w:szCs w:val="22"/>
        </w:rPr>
        <w:t xml:space="preserve"> v</w:t>
      </w:r>
      <w:r w:rsidRPr="005F0259">
        <w:rPr>
          <w:rFonts w:eastAsia="Calibri"/>
          <w:sz w:val="22"/>
          <w:szCs w:val="22"/>
          <w:lang w:eastAsia="en-US"/>
        </w:rPr>
        <w:t xml:space="preserve">olcanics respectively of </w:t>
      </w:r>
      <w:r w:rsidRPr="005F0259">
        <w:rPr>
          <w:sz w:val="22"/>
          <w:szCs w:val="22"/>
        </w:rPr>
        <w:t xml:space="preserve">alkaline and calc-alkaline </w:t>
      </w:r>
      <w:r w:rsidRPr="005F0259">
        <w:rPr>
          <w:rFonts w:eastAsia="Calibri"/>
          <w:sz w:val="22"/>
          <w:szCs w:val="22"/>
          <w:lang w:eastAsia="en-US"/>
        </w:rPr>
        <w:t xml:space="preserve">type. </w:t>
      </w:r>
    </w:p>
    <w:p w:rsidR="00564975" w:rsidRPr="005F0259" w:rsidRDefault="00564975" w:rsidP="00564975">
      <w:pPr>
        <w:spacing w:line="240" w:lineRule="auto"/>
        <w:rPr>
          <w:b/>
          <w:shadow/>
          <w:sz w:val="22"/>
          <w:szCs w:val="22"/>
          <w:u w:val="single"/>
        </w:rPr>
      </w:pPr>
      <w:r w:rsidRPr="005F0259">
        <w:rPr>
          <w:i/>
          <w:shadow/>
          <w:sz w:val="22"/>
          <w:szCs w:val="22"/>
          <w:u w:val="single"/>
        </w:rPr>
        <w:t>Quaternary (&lt; 1.2 Ma – Recent; Tyrrhenian area</w:t>
      </w:r>
      <w:r w:rsidRPr="005F0259">
        <w:rPr>
          <w:b/>
          <w:shadow/>
          <w:sz w:val="22"/>
          <w:szCs w:val="22"/>
          <w:u w:val="single"/>
        </w:rPr>
        <w:t>)</w:t>
      </w:r>
    </w:p>
    <w:p w:rsidR="00564975" w:rsidRPr="005F0259" w:rsidRDefault="00564975" w:rsidP="00564975">
      <w:pPr>
        <w:spacing w:line="240" w:lineRule="auto"/>
        <w:ind w:firstLine="720"/>
        <w:rPr>
          <w:sz w:val="22"/>
          <w:szCs w:val="22"/>
        </w:rPr>
      </w:pPr>
      <w:r w:rsidRPr="005F0259">
        <w:rPr>
          <w:sz w:val="22"/>
          <w:szCs w:val="22"/>
        </w:rPr>
        <w:t>Calc-alkaline basalt volcanism (&lt; 0.8 Ma;</w:t>
      </w:r>
      <w:r w:rsidRPr="005F0259">
        <w:rPr>
          <w:i/>
          <w:sz w:val="22"/>
          <w:szCs w:val="22"/>
        </w:rPr>
        <w:t xml:space="preserve"> Selli et al</w:t>
      </w:r>
      <w:r w:rsidRPr="005F0259">
        <w:rPr>
          <w:sz w:val="22"/>
          <w:szCs w:val="22"/>
        </w:rPr>
        <w:t xml:space="preserve">., 1977; </w:t>
      </w:r>
      <w:r w:rsidRPr="005F0259">
        <w:rPr>
          <w:i/>
          <w:sz w:val="22"/>
          <w:szCs w:val="22"/>
        </w:rPr>
        <w:t>Savelli and Gasparotto</w:t>
      </w:r>
      <w:r w:rsidRPr="005F0259">
        <w:rPr>
          <w:sz w:val="22"/>
          <w:szCs w:val="22"/>
        </w:rPr>
        <w:t xml:space="preserve">, 1994; </w:t>
      </w:r>
      <w:r w:rsidRPr="005F0259">
        <w:rPr>
          <w:i/>
          <w:sz w:val="22"/>
          <w:szCs w:val="22"/>
        </w:rPr>
        <w:t>Faggioni et al</w:t>
      </w:r>
      <w:r w:rsidRPr="005F0259">
        <w:rPr>
          <w:sz w:val="22"/>
          <w:szCs w:val="22"/>
        </w:rPr>
        <w:t xml:space="preserve">., 1995; </w:t>
      </w:r>
      <w:r w:rsidRPr="005F0259">
        <w:rPr>
          <w:i/>
          <w:sz w:val="22"/>
          <w:szCs w:val="22"/>
        </w:rPr>
        <w:t>Marani and Trua</w:t>
      </w:r>
      <w:r w:rsidRPr="005F0259">
        <w:rPr>
          <w:sz w:val="22"/>
          <w:szCs w:val="22"/>
        </w:rPr>
        <w:t xml:space="preserve">, 2002) and high angle faulting produce vertical accretion of the large axial seamount Marsili as fast subsidence affects the seamount itself and the contour bathyal plain. Such Quaternary vertical tectonic mode replaces the low-angle detachment faulting of fast horizontal spreading and basalt eruption at ODP site 650 of the late Pliocene. </w:t>
      </w:r>
      <w:r w:rsidRPr="005F0259">
        <w:rPr>
          <w:i/>
          <w:sz w:val="22"/>
          <w:szCs w:val="22"/>
        </w:rPr>
        <w:t>Cocchi et al</w:t>
      </w:r>
      <w:r w:rsidRPr="005F0259">
        <w:rPr>
          <w:sz w:val="22"/>
          <w:szCs w:val="22"/>
        </w:rPr>
        <w:t xml:space="preserve">. (2009) point out that Marsili basin evolves from pure lateral spreading to a superinflated seamount. In the part of the basin to </w:t>
      </w:r>
      <w:r w:rsidRPr="005F0259">
        <w:rPr>
          <w:sz w:val="22"/>
          <w:szCs w:val="22"/>
        </w:rPr>
        <w:lastRenderedPageBreak/>
        <w:t xml:space="preserve">the east of ODP site 650, the full spreading rate decreases from 3.1 cm/a since the post Olduvai part of the Matuyama (&lt; 1.67 Ma) to 1.8 cm/a since the Brunhes chron (&lt; 0.8 Ma) and the start of the vertical growth of the 3000 m high seafloor volcano. </w:t>
      </w:r>
    </w:p>
    <w:p w:rsidR="00564975" w:rsidRPr="0064535E" w:rsidRDefault="00564975" w:rsidP="00564975">
      <w:pPr>
        <w:spacing w:line="240" w:lineRule="auto"/>
        <w:ind w:firstLine="720"/>
        <w:rPr>
          <w:sz w:val="22"/>
          <w:szCs w:val="22"/>
        </w:rPr>
      </w:pPr>
      <w:r w:rsidRPr="005F0259">
        <w:rPr>
          <w:sz w:val="22"/>
          <w:szCs w:val="22"/>
        </w:rPr>
        <w:t xml:space="preserve">In the Marsili basin, if the ca. 2 Ma age of opening for 110 km in WNW-ESE direction is true the full spreading rate was ca. 5.8 cm/a. </w:t>
      </w:r>
      <w:r w:rsidRPr="005F0259">
        <w:rPr>
          <w:i/>
          <w:sz w:val="22"/>
          <w:szCs w:val="22"/>
        </w:rPr>
        <w:t>Nicolosi et al</w:t>
      </w:r>
      <w:r w:rsidRPr="005F0259">
        <w:rPr>
          <w:sz w:val="22"/>
          <w:szCs w:val="22"/>
        </w:rPr>
        <w:t>. (2006), indicate spreading rate of 19 cm/a for the short-lived Olduvai chron. As the Marsili spreading should be restricted due to nearness of the continental</w:t>
      </w:r>
      <w:r w:rsidRPr="0064535E">
        <w:rPr>
          <w:sz w:val="22"/>
          <w:szCs w:val="22"/>
        </w:rPr>
        <w:t xml:space="preserve"> crust, the large above-mentioned rate can be an overestimation. The MORB-like basalt injection at ODP site 650 represents initial oceanic spreading of localized punctiform nature in ambient shallow-water. Such short-lived magmatic emplacement can accompany strong tectonic extension. To the west of the ODP site 650, strong tectonic spreading could affect - hypothetically - the amagmatic thinned continental lithosphere of the bathymetric saddle which separates the bathyal plain of Vavilov from that of Marsili. In the Marsili basin as in the older Vavilov, lateral oceanic accretion evolves to vertical growth producing basaltic seamounts to the detriment of the opening rate. The landlocked Marsili volcano grew up in a more eastward position with respect to the early localized shallow-water spreading of the site ODP 650, whereas the axial volcanoes of the Vavilov plain develop in a more westward position with respect to the MORB-type basalts of the site DSDP 373A. In the Marsili basin, the transition from pure horizontal magma-poor spreading to strong volcanism and vertical accretion of Marsili seamount can be cause or effect, or both cause and effect, of strong slab instability. This geochronological recostruction of the Tyrrhenian opening might show that the Gortani ridge and the seamounts of Vavilov and Marsili can represent the evolution from pure lateral to vertical oceanic accretion with formation of short “sui generis” spreading axis. </w:t>
      </w:r>
    </w:p>
    <w:p w:rsidR="00564975" w:rsidRPr="005F0259" w:rsidRDefault="00564975" w:rsidP="00564975">
      <w:pPr>
        <w:spacing w:line="240" w:lineRule="auto"/>
        <w:ind w:firstLine="720"/>
        <w:rPr>
          <w:sz w:val="22"/>
          <w:szCs w:val="22"/>
        </w:rPr>
      </w:pPr>
      <w:r w:rsidRPr="0064535E">
        <w:rPr>
          <w:sz w:val="22"/>
          <w:szCs w:val="22"/>
        </w:rPr>
        <w:t xml:space="preserve">During the last 1 Ma, abundant calc-alkaline volcanism affected the Tyrrhenian margin from </w:t>
      </w:r>
      <w:r w:rsidRPr="005F0259">
        <w:rPr>
          <w:sz w:val="22"/>
          <w:szCs w:val="22"/>
        </w:rPr>
        <w:t>the Aeolian islands and Vesuvius to the “Roman Province” and southern Tuscany (Main text Fig. 7). The figure shows also that alkaline-olivine basalts are present in the top of Vavilov seamount showing &lt; 0.5 Ma (</w:t>
      </w:r>
      <w:r w:rsidRPr="005F0259">
        <w:rPr>
          <w:i/>
          <w:sz w:val="22"/>
          <w:szCs w:val="22"/>
        </w:rPr>
        <w:t>Selli et al</w:t>
      </w:r>
      <w:r w:rsidRPr="005F0259">
        <w:rPr>
          <w:sz w:val="22"/>
          <w:szCs w:val="22"/>
        </w:rPr>
        <w:t xml:space="preserve">., 1977; </w:t>
      </w:r>
      <w:r w:rsidRPr="005F0259">
        <w:rPr>
          <w:i/>
          <w:sz w:val="22"/>
          <w:szCs w:val="22"/>
        </w:rPr>
        <w:t>Robin et al</w:t>
      </w:r>
      <w:r w:rsidRPr="005F0259">
        <w:rPr>
          <w:sz w:val="22"/>
          <w:szCs w:val="22"/>
        </w:rPr>
        <w:t xml:space="preserve">., 1987; </w:t>
      </w:r>
      <w:r w:rsidRPr="005F0259">
        <w:rPr>
          <w:i/>
          <w:sz w:val="22"/>
          <w:szCs w:val="22"/>
        </w:rPr>
        <w:t>Faggioni et al</w:t>
      </w:r>
      <w:r w:rsidRPr="005F0259">
        <w:rPr>
          <w:sz w:val="22"/>
          <w:szCs w:val="22"/>
        </w:rPr>
        <w:t xml:space="preserve">., 1995), and in NW Sardinia (between ca. 0.8 and 0.2 Ma; </w:t>
      </w:r>
      <w:r w:rsidRPr="005F0259">
        <w:rPr>
          <w:i/>
          <w:sz w:val="22"/>
          <w:szCs w:val="22"/>
        </w:rPr>
        <w:t>Savelli</w:t>
      </w:r>
      <w:r w:rsidRPr="005F0259">
        <w:rPr>
          <w:sz w:val="22"/>
          <w:szCs w:val="22"/>
        </w:rPr>
        <w:t xml:space="preserve">, 1984, 2002). Alkaline contamination of Quaternary peri-Tyrrhenian calc-alkaline volcanics is described by various authors (see, e.g., </w:t>
      </w:r>
      <w:r w:rsidRPr="005F0259">
        <w:rPr>
          <w:i/>
          <w:sz w:val="22"/>
          <w:szCs w:val="22"/>
        </w:rPr>
        <w:t>Ellam et al</w:t>
      </w:r>
      <w:r w:rsidRPr="005F0259">
        <w:rPr>
          <w:sz w:val="22"/>
          <w:szCs w:val="22"/>
        </w:rPr>
        <w:t xml:space="preserve">., 1989; </w:t>
      </w:r>
      <w:r w:rsidRPr="005F0259">
        <w:rPr>
          <w:i/>
          <w:sz w:val="22"/>
          <w:szCs w:val="22"/>
        </w:rPr>
        <w:t>Serri et al</w:t>
      </w:r>
      <w:r w:rsidRPr="005F0259">
        <w:rPr>
          <w:sz w:val="22"/>
          <w:szCs w:val="22"/>
        </w:rPr>
        <w:t>., 1993;</w:t>
      </w:r>
      <w:r w:rsidRPr="0064535E">
        <w:rPr>
          <w:sz w:val="22"/>
          <w:szCs w:val="22"/>
        </w:rPr>
        <w:t xml:space="preserve"> </w:t>
      </w:r>
      <w:r w:rsidRPr="005F0259">
        <w:rPr>
          <w:i/>
          <w:sz w:val="22"/>
          <w:szCs w:val="22"/>
        </w:rPr>
        <w:t>Francalanci and Manetti</w:t>
      </w:r>
      <w:r w:rsidRPr="005F0259">
        <w:rPr>
          <w:sz w:val="22"/>
          <w:szCs w:val="22"/>
        </w:rPr>
        <w:t xml:space="preserve">, 1994; </w:t>
      </w:r>
      <w:r w:rsidRPr="005F0259">
        <w:rPr>
          <w:i/>
          <w:sz w:val="22"/>
          <w:szCs w:val="22"/>
        </w:rPr>
        <w:t>Argnani and Savelli</w:t>
      </w:r>
      <w:r w:rsidRPr="005F0259">
        <w:rPr>
          <w:sz w:val="22"/>
          <w:szCs w:val="22"/>
        </w:rPr>
        <w:t xml:space="preserve">, 1999, 2001; </w:t>
      </w:r>
      <w:r w:rsidRPr="005F0259">
        <w:rPr>
          <w:i/>
          <w:sz w:val="22"/>
          <w:szCs w:val="22"/>
        </w:rPr>
        <w:t>Peccerillo</w:t>
      </w:r>
      <w:r w:rsidRPr="005F0259">
        <w:rPr>
          <w:sz w:val="22"/>
          <w:szCs w:val="22"/>
        </w:rPr>
        <w:t xml:space="preserve">, 1999; </w:t>
      </w:r>
      <w:r w:rsidRPr="005F0259">
        <w:rPr>
          <w:i/>
          <w:sz w:val="22"/>
          <w:szCs w:val="22"/>
        </w:rPr>
        <w:t>Gasperini et al</w:t>
      </w:r>
      <w:r w:rsidRPr="005F0259">
        <w:rPr>
          <w:sz w:val="22"/>
          <w:szCs w:val="22"/>
        </w:rPr>
        <w:t xml:space="preserve">. 2002; </w:t>
      </w:r>
      <w:r w:rsidRPr="005F0259">
        <w:rPr>
          <w:i/>
          <w:sz w:val="22"/>
          <w:szCs w:val="22"/>
        </w:rPr>
        <w:t>Cadoux et al</w:t>
      </w:r>
      <w:r w:rsidRPr="005F0259">
        <w:rPr>
          <w:sz w:val="22"/>
          <w:szCs w:val="22"/>
        </w:rPr>
        <w:t xml:space="preserve">., 2005; </w:t>
      </w:r>
      <w:r w:rsidRPr="005F0259">
        <w:rPr>
          <w:i/>
          <w:sz w:val="22"/>
          <w:szCs w:val="22"/>
        </w:rPr>
        <w:t>De Astis et al</w:t>
      </w:r>
      <w:r w:rsidRPr="005F0259">
        <w:rPr>
          <w:sz w:val="22"/>
          <w:szCs w:val="22"/>
        </w:rPr>
        <w:t>., 2006;</w:t>
      </w:r>
      <w:r w:rsidRPr="005F0259">
        <w:rPr>
          <w:i/>
          <w:sz w:val="22"/>
          <w:szCs w:val="22"/>
        </w:rPr>
        <w:t xml:space="preserve"> Rosenbaum et al</w:t>
      </w:r>
      <w:r w:rsidRPr="005F0259">
        <w:rPr>
          <w:sz w:val="22"/>
          <w:szCs w:val="22"/>
        </w:rPr>
        <w:t xml:space="preserve">., 2008; </w:t>
      </w:r>
      <w:r w:rsidRPr="005F0259">
        <w:rPr>
          <w:i/>
          <w:sz w:val="22"/>
          <w:szCs w:val="22"/>
        </w:rPr>
        <w:t>Trua et al</w:t>
      </w:r>
      <w:r w:rsidRPr="005F0259">
        <w:rPr>
          <w:sz w:val="22"/>
          <w:szCs w:val="22"/>
        </w:rPr>
        <w:t>., 2004, 2010).</w:t>
      </w:r>
    </w:p>
    <w:p w:rsidR="00564975" w:rsidRPr="005F0259" w:rsidRDefault="00564975" w:rsidP="00564975">
      <w:pPr>
        <w:spacing w:line="240" w:lineRule="auto"/>
        <w:ind w:firstLine="720"/>
        <w:rPr>
          <w:sz w:val="22"/>
          <w:szCs w:val="22"/>
        </w:rPr>
      </w:pPr>
    </w:p>
    <w:p w:rsidR="00564975" w:rsidRPr="005F0259" w:rsidRDefault="00564975" w:rsidP="00564975">
      <w:pPr>
        <w:pStyle w:val="Testonormale1"/>
        <w:spacing w:line="240" w:lineRule="auto"/>
        <w:ind w:hanging="142"/>
        <w:jc w:val="both"/>
        <w:rPr>
          <w:rFonts w:ascii="Times New Roman" w:hAnsi="Times New Roman" w:cs="Times New Roman"/>
          <w:sz w:val="22"/>
          <w:szCs w:val="22"/>
          <w:lang w:val="en-GB"/>
        </w:rPr>
      </w:pPr>
      <w:r w:rsidRPr="005F0259">
        <w:rPr>
          <w:rFonts w:ascii="Times New Roman" w:hAnsi="Times New Roman" w:cs="Times New Roman"/>
          <w:b/>
          <w:sz w:val="22"/>
          <w:szCs w:val="22"/>
          <w:lang w:val="en-GB"/>
        </w:rPr>
        <w:t xml:space="preserve">Supplementary – S3: Volcanogenic allochthons of the Apennines </w:t>
      </w:r>
    </w:p>
    <w:p w:rsidR="00564975" w:rsidRPr="005F0259" w:rsidRDefault="00564975" w:rsidP="00564975">
      <w:pPr>
        <w:pStyle w:val="Testonormale1"/>
        <w:spacing w:line="240" w:lineRule="auto"/>
        <w:jc w:val="both"/>
        <w:rPr>
          <w:rFonts w:ascii="Times New Roman" w:hAnsi="Times New Roman" w:cs="Times New Roman"/>
          <w:i/>
          <w:shadow/>
          <w:sz w:val="22"/>
          <w:szCs w:val="22"/>
          <w:u w:val="single"/>
          <w:lang w:val="en-GB"/>
        </w:rPr>
      </w:pPr>
      <w:r w:rsidRPr="005F0259">
        <w:rPr>
          <w:rFonts w:ascii="Times New Roman" w:hAnsi="Times New Roman" w:cs="Times New Roman"/>
          <w:i/>
          <w:shadow/>
          <w:sz w:val="22"/>
          <w:szCs w:val="22"/>
          <w:u w:val="single"/>
          <w:lang w:val="en-GB"/>
        </w:rPr>
        <w:t xml:space="preserve">Volcanoclastic sediments </w:t>
      </w:r>
    </w:p>
    <w:p w:rsidR="00564975" w:rsidRPr="005F0259" w:rsidRDefault="00564975" w:rsidP="00564975">
      <w:pPr>
        <w:pStyle w:val="Testonormale1"/>
        <w:spacing w:line="240" w:lineRule="auto"/>
        <w:ind w:firstLine="720"/>
        <w:jc w:val="both"/>
        <w:rPr>
          <w:rFonts w:ascii="Times New Roman" w:hAnsi="Times New Roman" w:cs="Times New Roman"/>
          <w:sz w:val="22"/>
          <w:szCs w:val="22"/>
          <w:lang w:val="en-GB"/>
        </w:rPr>
      </w:pPr>
      <w:r w:rsidRPr="005F0259">
        <w:rPr>
          <w:rFonts w:ascii="Times New Roman" w:hAnsi="Times New Roman" w:cs="Times New Roman"/>
          <w:sz w:val="22"/>
          <w:szCs w:val="22"/>
          <w:lang w:val="en-GB"/>
        </w:rPr>
        <w:t>The pervasive presence of allochthonous volcanoclastics in the absence of the corresponding emission bodies has attracted the attention of various authors (</w:t>
      </w:r>
      <w:r w:rsidRPr="005F0259">
        <w:rPr>
          <w:rFonts w:ascii="Times New Roman" w:hAnsi="Times New Roman" w:cs="Times New Roman"/>
          <w:i/>
          <w:sz w:val="22"/>
          <w:szCs w:val="22"/>
          <w:lang w:val="en-GB"/>
        </w:rPr>
        <w:t>Mezzetti et al</w:t>
      </w:r>
      <w:r w:rsidRPr="005F0259">
        <w:rPr>
          <w:rFonts w:ascii="Times New Roman" w:hAnsi="Times New Roman" w:cs="Times New Roman"/>
          <w:sz w:val="22"/>
          <w:szCs w:val="22"/>
          <w:lang w:val="en-GB"/>
        </w:rPr>
        <w:t xml:space="preserve">., 1964; </w:t>
      </w:r>
      <w:r w:rsidRPr="005F0259">
        <w:rPr>
          <w:rFonts w:ascii="Times New Roman" w:hAnsi="Times New Roman" w:cs="Times New Roman"/>
          <w:i/>
          <w:sz w:val="22"/>
          <w:szCs w:val="22"/>
          <w:lang w:val="en-GB"/>
        </w:rPr>
        <w:t>Riviere et al</w:t>
      </w:r>
      <w:r w:rsidRPr="005F0259">
        <w:rPr>
          <w:rFonts w:ascii="Times New Roman" w:hAnsi="Times New Roman" w:cs="Times New Roman"/>
          <w:sz w:val="22"/>
          <w:szCs w:val="22"/>
          <w:lang w:val="en-GB"/>
        </w:rPr>
        <w:t xml:space="preserve">.,1977; </w:t>
      </w:r>
      <w:r w:rsidRPr="005F0259">
        <w:rPr>
          <w:rFonts w:ascii="Times New Roman" w:hAnsi="Times New Roman" w:cs="Times New Roman"/>
          <w:i/>
          <w:sz w:val="22"/>
          <w:szCs w:val="22"/>
          <w:lang w:val="en-GB"/>
        </w:rPr>
        <w:t>Borsetti et al</w:t>
      </w:r>
      <w:r w:rsidRPr="005F0259">
        <w:rPr>
          <w:rFonts w:ascii="Times New Roman" w:hAnsi="Times New Roman" w:cs="Times New Roman"/>
          <w:sz w:val="22"/>
          <w:szCs w:val="22"/>
          <w:lang w:val="en-GB"/>
        </w:rPr>
        <w:t xml:space="preserve">., 1984; </w:t>
      </w:r>
      <w:r w:rsidRPr="005F0259">
        <w:rPr>
          <w:rFonts w:ascii="Times New Roman" w:hAnsi="Times New Roman" w:cs="Times New Roman"/>
          <w:i/>
          <w:sz w:val="22"/>
          <w:szCs w:val="22"/>
          <w:lang w:val="en-GB"/>
        </w:rPr>
        <w:t>Critelli et al</w:t>
      </w:r>
      <w:r w:rsidRPr="005F0259">
        <w:rPr>
          <w:rFonts w:ascii="Times New Roman" w:hAnsi="Times New Roman" w:cs="Times New Roman"/>
          <w:sz w:val="22"/>
          <w:szCs w:val="22"/>
          <w:lang w:val="en-GB"/>
        </w:rPr>
        <w:t xml:space="preserve">., 1990; </w:t>
      </w:r>
      <w:r w:rsidRPr="005F0259">
        <w:rPr>
          <w:rFonts w:ascii="Times New Roman" w:hAnsi="Times New Roman" w:cs="Times New Roman"/>
          <w:i/>
          <w:sz w:val="22"/>
          <w:szCs w:val="22"/>
          <w:lang w:val="en-GB"/>
        </w:rPr>
        <w:t>Guerrera et al</w:t>
      </w:r>
      <w:r w:rsidRPr="005F0259">
        <w:rPr>
          <w:rFonts w:ascii="Times New Roman" w:hAnsi="Times New Roman" w:cs="Times New Roman"/>
          <w:sz w:val="22"/>
          <w:szCs w:val="22"/>
          <w:lang w:val="en-GB"/>
        </w:rPr>
        <w:t xml:space="preserve">., 1993, 1998, 2005; </w:t>
      </w:r>
      <w:r w:rsidRPr="005F0259">
        <w:rPr>
          <w:rFonts w:ascii="Times New Roman" w:hAnsi="Times New Roman" w:cs="Times New Roman"/>
          <w:i/>
          <w:sz w:val="22"/>
          <w:szCs w:val="22"/>
          <w:lang w:val="en-GB"/>
        </w:rPr>
        <w:t>Amorosi et al</w:t>
      </w:r>
      <w:r w:rsidRPr="005F0259">
        <w:rPr>
          <w:rFonts w:ascii="Times New Roman" w:hAnsi="Times New Roman" w:cs="Times New Roman"/>
          <w:sz w:val="22"/>
          <w:szCs w:val="22"/>
          <w:lang w:val="en-GB"/>
        </w:rPr>
        <w:t xml:space="preserve">., 1994, 1995; </w:t>
      </w:r>
      <w:r w:rsidRPr="005F0259">
        <w:rPr>
          <w:rFonts w:ascii="Times New Roman" w:hAnsi="Times New Roman" w:cs="Times New Roman"/>
          <w:i/>
          <w:sz w:val="22"/>
          <w:szCs w:val="22"/>
          <w:lang w:val="en-GB"/>
        </w:rPr>
        <w:t>Campos Venuti et al</w:t>
      </w:r>
      <w:r w:rsidRPr="005F0259">
        <w:rPr>
          <w:rFonts w:ascii="Times New Roman" w:hAnsi="Times New Roman" w:cs="Times New Roman"/>
          <w:sz w:val="22"/>
          <w:szCs w:val="22"/>
          <w:lang w:val="en-GB"/>
        </w:rPr>
        <w:t xml:space="preserve">., 1997; </w:t>
      </w:r>
      <w:r w:rsidRPr="005F0259">
        <w:rPr>
          <w:rFonts w:ascii="Times New Roman" w:hAnsi="Times New Roman" w:cs="Times New Roman"/>
          <w:i/>
          <w:sz w:val="22"/>
          <w:szCs w:val="22"/>
          <w:lang w:val="en-GB"/>
        </w:rPr>
        <w:t>Cibin et al</w:t>
      </w:r>
      <w:r w:rsidRPr="005F0259">
        <w:rPr>
          <w:rFonts w:ascii="Times New Roman" w:hAnsi="Times New Roman" w:cs="Times New Roman"/>
          <w:sz w:val="22"/>
          <w:szCs w:val="22"/>
          <w:lang w:val="en-GB"/>
        </w:rPr>
        <w:t xml:space="preserve">., 1998, 2001; </w:t>
      </w:r>
      <w:r w:rsidRPr="005F0259">
        <w:rPr>
          <w:rFonts w:ascii="Times New Roman" w:hAnsi="Times New Roman" w:cs="Times New Roman"/>
          <w:i/>
          <w:sz w:val="22"/>
          <w:szCs w:val="22"/>
          <w:lang w:val="en-GB"/>
        </w:rPr>
        <w:t>Mattioli et al</w:t>
      </w:r>
      <w:r w:rsidRPr="005F0259">
        <w:rPr>
          <w:rFonts w:ascii="Times New Roman" w:hAnsi="Times New Roman" w:cs="Times New Roman"/>
          <w:sz w:val="22"/>
          <w:szCs w:val="22"/>
          <w:lang w:val="en-GB"/>
        </w:rPr>
        <w:t>., 2002). The rocks show age from the Oligocene to Burdigalian (Langhian), and calc-alkaline nature (Table 2). In Table 3 are listed the literature geochemistry data of the samples cited in this chapter and Table 2. The dilemma whether the source area was originally located in the Tyrrhenian OAA, to the east of the Catalan-Tunisian fracture zone, is object of debate. The provenance area and the tectonics causing disappearance</w:t>
      </w:r>
      <w:r w:rsidRPr="0064535E">
        <w:rPr>
          <w:rFonts w:ascii="Times New Roman" w:hAnsi="Times New Roman" w:cs="Times New Roman"/>
          <w:sz w:val="22"/>
          <w:szCs w:val="22"/>
          <w:lang w:val="en-GB"/>
        </w:rPr>
        <w:t xml:space="preserve"> of the primary emission bodies (the “lost” volcanoes) preservation of the volcanoclastics are related issues which are going to be considered more below. On the whole, volcanogenic sediments from the Apennines were associated to erosion, reworking and basinal slumping (mass-flow) of pyroclastic material and lava and mineral grains. Volcanoclastic sandstones with abundant glass and mineral fragments, tuffaceous and volcanolithic sandstones reflect sedimentation by turbidity currents and mixing with the terrigenous derive mostly from erosion of crystalline-metamorphic basement. Fine-grained ash layers of pyroclastic fall which are often altered to clay minerals are also present. Some authors proposed the volcanoclastics derive from the coeval volcanism of western Sardinia (Tab. 3). Yet, due to its remote location the island is not a likely site of origin; the turbidite and gravity flow characteristics, coarse grain size (from sand to gravel and pebble) and thickness of volcanogenic sediments indicate a nearness of eruption and deposition sites </w:t>
      </w:r>
      <w:r w:rsidRPr="005F0259">
        <w:rPr>
          <w:rFonts w:ascii="Times New Roman" w:hAnsi="Times New Roman" w:cs="Times New Roman"/>
          <w:sz w:val="22"/>
          <w:szCs w:val="22"/>
          <w:lang w:val="en-GB"/>
        </w:rPr>
        <w:t>(</w:t>
      </w:r>
      <w:r w:rsidRPr="005F0259">
        <w:rPr>
          <w:rFonts w:ascii="Times New Roman" w:hAnsi="Times New Roman" w:cs="Times New Roman"/>
          <w:i/>
          <w:sz w:val="22"/>
          <w:szCs w:val="22"/>
          <w:lang w:val="en-GB"/>
        </w:rPr>
        <w:t>Critelli et al</w:t>
      </w:r>
      <w:r w:rsidRPr="005F0259">
        <w:rPr>
          <w:rFonts w:ascii="Times New Roman" w:hAnsi="Times New Roman" w:cs="Times New Roman"/>
          <w:sz w:val="22"/>
          <w:szCs w:val="22"/>
          <w:lang w:val="en-GB"/>
        </w:rPr>
        <w:t xml:space="preserve">., 1990; </w:t>
      </w:r>
      <w:r w:rsidRPr="005F0259">
        <w:rPr>
          <w:rFonts w:ascii="Times New Roman" w:hAnsi="Times New Roman" w:cs="Times New Roman"/>
          <w:i/>
          <w:sz w:val="22"/>
          <w:szCs w:val="22"/>
          <w:lang w:val="en-GB"/>
        </w:rPr>
        <w:t>Campos-Venuti et al</w:t>
      </w:r>
      <w:r w:rsidRPr="005F0259">
        <w:rPr>
          <w:rFonts w:ascii="Times New Roman" w:hAnsi="Times New Roman" w:cs="Times New Roman"/>
          <w:sz w:val="22"/>
          <w:szCs w:val="22"/>
          <w:lang w:val="en-GB"/>
        </w:rPr>
        <w:t>., 1997;</w:t>
      </w:r>
      <w:r w:rsidRPr="005F0259">
        <w:rPr>
          <w:rFonts w:ascii="Times New Roman" w:hAnsi="Times New Roman" w:cs="Times New Roman"/>
          <w:i/>
          <w:sz w:val="22"/>
          <w:szCs w:val="22"/>
          <w:lang w:val="en-GB"/>
        </w:rPr>
        <w:t xml:space="preserve"> De Capoa et al</w:t>
      </w:r>
      <w:r w:rsidRPr="005F0259">
        <w:rPr>
          <w:rFonts w:ascii="Times New Roman" w:hAnsi="Times New Roman" w:cs="Times New Roman"/>
          <w:sz w:val="22"/>
          <w:szCs w:val="22"/>
          <w:lang w:val="en-GB"/>
        </w:rPr>
        <w:t>., 2002).</w:t>
      </w:r>
    </w:p>
    <w:p w:rsidR="00564975" w:rsidRPr="005F0259" w:rsidRDefault="00564975" w:rsidP="00564975">
      <w:pPr>
        <w:spacing w:line="240" w:lineRule="auto"/>
        <w:rPr>
          <w:sz w:val="22"/>
          <w:szCs w:val="22"/>
          <w:u w:val="dash"/>
        </w:rPr>
      </w:pPr>
      <w:r w:rsidRPr="005F0259">
        <w:rPr>
          <w:sz w:val="22"/>
          <w:szCs w:val="22"/>
          <w:u w:val="dash"/>
        </w:rPr>
        <w:t xml:space="preserve">Early Oligocene. </w:t>
      </w:r>
    </w:p>
    <w:p w:rsidR="00564975" w:rsidRPr="005F0259" w:rsidRDefault="00564975" w:rsidP="00564975">
      <w:pPr>
        <w:spacing w:line="240" w:lineRule="auto"/>
        <w:ind w:firstLine="720"/>
        <w:rPr>
          <w:sz w:val="22"/>
          <w:szCs w:val="22"/>
        </w:rPr>
      </w:pPr>
      <w:r w:rsidRPr="005F0259">
        <w:rPr>
          <w:sz w:val="22"/>
          <w:szCs w:val="22"/>
        </w:rPr>
        <w:t>Early Oligocene volcanoclastic beds are widespread in the northern Apennines (</w:t>
      </w:r>
      <w:r w:rsidRPr="005F0259">
        <w:rPr>
          <w:i/>
          <w:sz w:val="22"/>
          <w:szCs w:val="22"/>
        </w:rPr>
        <w:t>Tateo</w:t>
      </w:r>
      <w:r w:rsidRPr="005F0259">
        <w:rPr>
          <w:sz w:val="22"/>
          <w:szCs w:val="22"/>
        </w:rPr>
        <w:t>, 1993;</w:t>
      </w:r>
      <w:r w:rsidRPr="0064535E">
        <w:rPr>
          <w:sz w:val="22"/>
          <w:szCs w:val="22"/>
        </w:rPr>
        <w:t xml:space="preserve"> </w:t>
      </w:r>
      <w:r w:rsidRPr="0064535E">
        <w:rPr>
          <w:i/>
          <w:sz w:val="22"/>
          <w:szCs w:val="22"/>
        </w:rPr>
        <w:t>Cibin et al</w:t>
      </w:r>
      <w:r w:rsidRPr="0064535E">
        <w:rPr>
          <w:sz w:val="22"/>
          <w:szCs w:val="22"/>
        </w:rPr>
        <w:t xml:space="preserve">., 1998, 2001; </w:t>
      </w:r>
      <w:r w:rsidRPr="0064535E">
        <w:rPr>
          <w:i/>
          <w:sz w:val="22"/>
          <w:szCs w:val="22"/>
        </w:rPr>
        <w:t>Mattioli et al</w:t>
      </w:r>
      <w:r w:rsidRPr="0064535E">
        <w:rPr>
          <w:sz w:val="22"/>
          <w:szCs w:val="22"/>
        </w:rPr>
        <w:t xml:space="preserve">., 2002). The Ranzano formation (l.s., sites </w:t>
      </w:r>
      <w:r w:rsidRPr="0064535E">
        <w:rPr>
          <w:i/>
          <w:sz w:val="22"/>
          <w:szCs w:val="22"/>
        </w:rPr>
        <w:t>23,</w:t>
      </w:r>
      <w:r w:rsidRPr="0064535E">
        <w:rPr>
          <w:sz w:val="22"/>
          <w:szCs w:val="22"/>
        </w:rPr>
        <w:t xml:space="preserve"> </w:t>
      </w:r>
      <w:r w:rsidRPr="0064535E">
        <w:rPr>
          <w:i/>
          <w:sz w:val="22"/>
          <w:szCs w:val="22"/>
        </w:rPr>
        <w:t>24, 25;</w:t>
      </w:r>
      <w:r w:rsidRPr="0064535E">
        <w:rPr>
          <w:sz w:val="22"/>
          <w:szCs w:val="22"/>
        </w:rPr>
        <w:t xml:space="preserve"> Fig. 3, main text) is made up mainly of sands containing plagioclase grains of andesine-labradorite composition associated with glass shards and grains of amphibole, pyroxene, biotite and opaques which indicate primary composition of dacitic-andesitic type (samples 34D, 94, 128 of Tab. 2; </w:t>
      </w:r>
      <w:r w:rsidRPr="0064535E">
        <w:rPr>
          <w:i/>
          <w:sz w:val="22"/>
          <w:szCs w:val="22"/>
        </w:rPr>
        <w:t>Cibin et al</w:t>
      </w:r>
      <w:r w:rsidRPr="0064535E">
        <w:rPr>
          <w:sz w:val="22"/>
          <w:szCs w:val="22"/>
        </w:rPr>
        <w:t xml:space="preserve">., 1998). The detritus is present in “pure” beds which contain around 70-80 % volcanic material and “mixed” beds where volcanic and non-volcanic grains are present in variable amount. Pebble-sized clasts from the Aveto-Petrignacola formation (sites </w:t>
      </w:r>
      <w:r w:rsidRPr="0064535E">
        <w:rPr>
          <w:i/>
          <w:sz w:val="22"/>
          <w:szCs w:val="22"/>
        </w:rPr>
        <w:t>23, 24</w:t>
      </w:r>
      <w:r w:rsidRPr="0064535E">
        <w:rPr>
          <w:sz w:val="22"/>
          <w:szCs w:val="22"/>
        </w:rPr>
        <w:t>) yielded amphibole Ar/Ar ages of 29.8-29 Ma which match the early Oligocene biostratigraphic evidence (</w:t>
      </w:r>
      <w:r w:rsidRPr="0064535E">
        <w:rPr>
          <w:i/>
          <w:sz w:val="22"/>
          <w:szCs w:val="22"/>
        </w:rPr>
        <w:t>Mattioli et al</w:t>
      </w:r>
      <w:r w:rsidRPr="0064535E">
        <w:rPr>
          <w:sz w:val="22"/>
          <w:szCs w:val="22"/>
        </w:rPr>
        <w:t xml:space="preserve">., 2002). Clast composition varies from basalt and basaltic andesite to andesite, dacite and rhyolite (twelve samples; from MM2 to MM114). The lavas </w:t>
      </w:r>
      <w:r w:rsidRPr="0064535E">
        <w:rPr>
          <w:sz w:val="22"/>
          <w:szCs w:val="22"/>
        </w:rPr>
        <w:lastRenderedPageBreak/>
        <w:t xml:space="preserve">exhibit serial type from low- to medium- and high-K calc-alkaline, and the rhyolitic ignimbrites shoshonitic type. The volcanic sand beds of Reitano-Tusa and Stilo-Capo d’Orlando turbiditic successions (Calabro-Peloritani arc, sites n. </w:t>
      </w:r>
      <w:r w:rsidRPr="0064535E">
        <w:rPr>
          <w:i/>
          <w:sz w:val="22"/>
          <w:szCs w:val="22"/>
        </w:rPr>
        <w:t>13</w:t>
      </w:r>
      <w:r w:rsidRPr="0064535E">
        <w:rPr>
          <w:sz w:val="22"/>
          <w:szCs w:val="22"/>
        </w:rPr>
        <w:t xml:space="preserve">, </w:t>
      </w:r>
      <w:r w:rsidRPr="0064535E">
        <w:rPr>
          <w:i/>
          <w:sz w:val="22"/>
          <w:szCs w:val="22"/>
        </w:rPr>
        <w:t>14</w:t>
      </w:r>
      <w:r w:rsidRPr="0064535E">
        <w:rPr>
          <w:sz w:val="22"/>
          <w:szCs w:val="22"/>
        </w:rPr>
        <w:t xml:space="preserve">) show rhyolitic K-alkaline </w:t>
      </w:r>
      <w:r w:rsidRPr="005F0259">
        <w:rPr>
          <w:sz w:val="22"/>
          <w:szCs w:val="22"/>
        </w:rPr>
        <w:t>nature and early Oligocene age (</w:t>
      </w:r>
      <w:r w:rsidRPr="005F0259">
        <w:rPr>
          <w:i/>
          <w:sz w:val="22"/>
          <w:szCs w:val="22"/>
        </w:rPr>
        <w:t>Faugeres et al</w:t>
      </w:r>
      <w:r w:rsidRPr="005F0259">
        <w:rPr>
          <w:sz w:val="22"/>
          <w:szCs w:val="22"/>
        </w:rPr>
        <w:t xml:space="preserve">., 1992; </w:t>
      </w:r>
      <w:r w:rsidRPr="005F0259">
        <w:rPr>
          <w:i/>
          <w:sz w:val="22"/>
          <w:szCs w:val="22"/>
        </w:rPr>
        <w:t>Balogh et al</w:t>
      </w:r>
      <w:r w:rsidRPr="005F0259">
        <w:rPr>
          <w:sz w:val="22"/>
          <w:szCs w:val="22"/>
        </w:rPr>
        <w:t xml:space="preserve">., 2001; </w:t>
      </w:r>
      <w:r w:rsidRPr="005F0259">
        <w:rPr>
          <w:i/>
          <w:sz w:val="22"/>
          <w:szCs w:val="22"/>
        </w:rPr>
        <w:t>Baruffini et al</w:t>
      </w:r>
      <w:r w:rsidRPr="005F0259">
        <w:rPr>
          <w:sz w:val="22"/>
          <w:szCs w:val="22"/>
        </w:rPr>
        <w:t xml:space="preserve">., 2002). </w:t>
      </w:r>
    </w:p>
    <w:p w:rsidR="00564975" w:rsidRPr="005F0259" w:rsidRDefault="00564975" w:rsidP="00564975">
      <w:pPr>
        <w:spacing w:line="240" w:lineRule="auto"/>
        <w:rPr>
          <w:sz w:val="22"/>
          <w:szCs w:val="22"/>
          <w:u w:val="dash"/>
        </w:rPr>
      </w:pPr>
      <w:r w:rsidRPr="005F0259">
        <w:rPr>
          <w:sz w:val="22"/>
          <w:szCs w:val="22"/>
          <w:u w:val="dash"/>
        </w:rPr>
        <w:t xml:space="preserve">Oligocene - early Miocene. </w:t>
      </w:r>
    </w:p>
    <w:p w:rsidR="00564975" w:rsidRPr="005F0259" w:rsidRDefault="00564975" w:rsidP="00564975">
      <w:pPr>
        <w:spacing w:line="240" w:lineRule="auto"/>
        <w:ind w:firstLine="720"/>
        <w:rPr>
          <w:sz w:val="22"/>
          <w:szCs w:val="22"/>
        </w:rPr>
      </w:pPr>
      <w:r w:rsidRPr="005F0259">
        <w:rPr>
          <w:sz w:val="22"/>
          <w:szCs w:val="22"/>
        </w:rPr>
        <w:t xml:space="preserve">Volcanogenic sands showing rhyolitic-rhyodacitic composition are found in the southern Apennines (sites </w:t>
      </w:r>
      <w:r w:rsidRPr="005F0259">
        <w:rPr>
          <w:i/>
          <w:sz w:val="22"/>
          <w:szCs w:val="22"/>
        </w:rPr>
        <w:t>15, 16, 17;</w:t>
      </w:r>
      <w:r w:rsidRPr="005F0259">
        <w:rPr>
          <w:sz w:val="22"/>
          <w:szCs w:val="22"/>
        </w:rPr>
        <w:t xml:space="preserve"> </w:t>
      </w:r>
      <w:r w:rsidRPr="005F0259">
        <w:rPr>
          <w:i/>
          <w:sz w:val="22"/>
          <w:szCs w:val="22"/>
        </w:rPr>
        <w:t>Critelli et al</w:t>
      </w:r>
      <w:r w:rsidRPr="005F0259">
        <w:rPr>
          <w:sz w:val="22"/>
          <w:szCs w:val="22"/>
        </w:rPr>
        <w:t xml:space="preserve">., 1990; </w:t>
      </w:r>
      <w:r w:rsidRPr="005F0259">
        <w:rPr>
          <w:i/>
          <w:sz w:val="22"/>
          <w:szCs w:val="22"/>
        </w:rPr>
        <w:t>Guerrera et al</w:t>
      </w:r>
      <w:r w:rsidRPr="005F0259">
        <w:rPr>
          <w:sz w:val="22"/>
          <w:szCs w:val="22"/>
        </w:rPr>
        <w:t>., 1998, 2005;</w:t>
      </w:r>
      <w:r w:rsidRPr="005F0259">
        <w:rPr>
          <w:i/>
          <w:sz w:val="22"/>
          <w:szCs w:val="22"/>
        </w:rPr>
        <w:t xml:space="preserve"> De Capoa et al.,</w:t>
      </w:r>
      <w:r w:rsidRPr="005F0259">
        <w:rPr>
          <w:sz w:val="22"/>
          <w:szCs w:val="22"/>
        </w:rPr>
        <w:t xml:space="preserve"> 2002). Volcanic ash layers of the northern Apennines (Contignaco, Mongardino and Calderino; sites n. </w:t>
      </w:r>
      <w:r w:rsidRPr="005F0259">
        <w:rPr>
          <w:i/>
          <w:sz w:val="22"/>
          <w:szCs w:val="22"/>
        </w:rPr>
        <w:t>25-26</w:t>
      </w:r>
      <w:r w:rsidRPr="005F0259">
        <w:rPr>
          <w:sz w:val="22"/>
          <w:szCs w:val="22"/>
        </w:rPr>
        <w:t>) are associated with early Miocene clays (</w:t>
      </w:r>
      <w:r w:rsidRPr="005F0259">
        <w:rPr>
          <w:i/>
          <w:sz w:val="22"/>
          <w:szCs w:val="22"/>
        </w:rPr>
        <w:t>Mezzetti et al</w:t>
      </w:r>
      <w:r w:rsidRPr="005F0259">
        <w:rPr>
          <w:sz w:val="22"/>
          <w:szCs w:val="22"/>
        </w:rPr>
        <w:t xml:space="preserve">., 1964; </w:t>
      </w:r>
      <w:r w:rsidRPr="005F0259">
        <w:rPr>
          <w:i/>
          <w:sz w:val="22"/>
          <w:szCs w:val="22"/>
        </w:rPr>
        <w:t>Cibin et al</w:t>
      </w:r>
      <w:r w:rsidRPr="005F0259">
        <w:rPr>
          <w:sz w:val="22"/>
          <w:szCs w:val="22"/>
        </w:rPr>
        <w:t xml:space="preserve">., 2001). Sometimes, the volcanic ashes were modified and altered to various extent: the alteration degree was studied by </w:t>
      </w:r>
      <w:r w:rsidRPr="005F0259">
        <w:rPr>
          <w:i/>
          <w:sz w:val="22"/>
          <w:szCs w:val="22"/>
        </w:rPr>
        <w:t>Mezzetti et al</w:t>
      </w:r>
      <w:r w:rsidRPr="005F0259">
        <w:rPr>
          <w:sz w:val="22"/>
          <w:szCs w:val="22"/>
        </w:rPr>
        <w:t>ii (1964). The geochemistry diversity between separated shards and whole rock indicates the alteration of Calderino pyroclastics (sample 4). The alteration produced decrease of silica and alkalies, and CaO increase. Conversely, the Mongardino glass (sample 5) was only slightly altered into clay material. In volcanic arenites of the early Miocene San Mauro/Pollica formation (southern Apennines;</w:t>
      </w:r>
      <w:r w:rsidRPr="005F0259">
        <w:rPr>
          <w:i/>
          <w:sz w:val="22"/>
          <w:szCs w:val="22"/>
        </w:rPr>
        <w:t xml:space="preserve"> Crisci et al</w:t>
      </w:r>
      <w:r w:rsidRPr="005F0259">
        <w:rPr>
          <w:sz w:val="22"/>
          <w:szCs w:val="22"/>
        </w:rPr>
        <w:t xml:space="preserve">., 1988; </w:t>
      </w:r>
      <w:r w:rsidRPr="005F0259">
        <w:rPr>
          <w:i/>
          <w:sz w:val="22"/>
          <w:szCs w:val="22"/>
        </w:rPr>
        <w:t>Critelli and Le Pera</w:t>
      </w:r>
      <w:r w:rsidRPr="005F0259">
        <w:rPr>
          <w:sz w:val="22"/>
          <w:szCs w:val="22"/>
        </w:rPr>
        <w:t xml:space="preserve">, 1990) are present lava clasts of rhyodacitic - rhyolitic composition (sites </w:t>
      </w:r>
      <w:r w:rsidRPr="005F0259">
        <w:rPr>
          <w:i/>
          <w:sz w:val="22"/>
          <w:szCs w:val="22"/>
        </w:rPr>
        <w:t>19-20</w:t>
      </w:r>
      <w:r w:rsidRPr="005F0259">
        <w:rPr>
          <w:sz w:val="22"/>
          <w:szCs w:val="22"/>
        </w:rPr>
        <w:t>; samples S2, S3). The arenites contain fragments of plagioclase, quartz, sanidine and biotite; fresh plagioclase with anorthite content of 15 – 40 % shows embayed rims of allotriomorphic quartz.</w:t>
      </w:r>
    </w:p>
    <w:p w:rsidR="00564975" w:rsidRPr="0064535E" w:rsidRDefault="00564975" w:rsidP="00564975">
      <w:pPr>
        <w:spacing w:line="240" w:lineRule="auto"/>
        <w:rPr>
          <w:sz w:val="22"/>
          <w:szCs w:val="22"/>
          <w:u w:val="dash"/>
        </w:rPr>
      </w:pPr>
      <w:r w:rsidRPr="005F0259">
        <w:rPr>
          <w:sz w:val="22"/>
          <w:szCs w:val="22"/>
          <w:u w:val="dash"/>
        </w:rPr>
        <w:t>Late Aquitanian – Burdigalian (Langhian)</w:t>
      </w:r>
    </w:p>
    <w:p w:rsidR="00564975" w:rsidRPr="005F0259" w:rsidRDefault="00564975" w:rsidP="00564975">
      <w:pPr>
        <w:spacing w:line="240" w:lineRule="auto"/>
        <w:ind w:firstLine="720"/>
        <w:contextualSpacing/>
        <w:rPr>
          <w:sz w:val="22"/>
          <w:szCs w:val="22"/>
        </w:rPr>
      </w:pPr>
      <w:r w:rsidRPr="005F0259">
        <w:rPr>
          <w:sz w:val="22"/>
          <w:szCs w:val="22"/>
        </w:rPr>
        <w:t>Figure 3 shows that volcanogenic deposits of Late Aquitanian – Burdigalian age are scarce in Rif and Betics (</w:t>
      </w:r>
      <w:r w:rsidRPr="005F0259">
        <w:rPr>
          <w:i/>
          <w:sz w:val="22"/>
          <w:szCs w:val="22"/>
        </w:rPr>
        <w:t>Maate et al.</w:t>
      </w:r>
      <w:r w:rsidRPr="005F0259">
        <w:rPr>
          <w:sz w:val="22"/>
          <w:szCs w:val="22"/>
        </w:rPr>
        <w:t xml:space="preserve">, 1995; </w:t>
      </w:r>
      <w:r w:rsidRPr="005F0259">
        <w:rPr>
          <w:i/>
          <w:sz w:val="22"/>
          <w:szCs w:val="22"/>
        </w:rPr>
        <w:t>Guerrera et al</w:t>
      </w:r>
      <w:r w:rsidRPr="005F0259">
        <w:rPr>
          <w:sz w:val="22"/>
          <w:szCs w:val="22"/>
        </w:rPr>
        <w:t xml:space="preserve">., 1998) and abundant in the Apennines. </w:t>
      </w:r>
      <w:r w:rsidRPr="005F0259">
        <w:rPr>
          <w:szCs w:val="23"/>
        </w:rPr>
        <w:t xml:space="preserve">Turbidite sediments bearing fragments of rhyodacitic-andesitic rocks crop out in the Betic region </w:t>
      </w:r>
      <w:r w:rsidRPr="005F0259">
        <w:rPr>
          <w:i/>
          <w:szCs w:val="23"/>
        </w:rPr>
        <w:t>(</w:t>
      </w:r>
      <w:r w:rsidRPr="005F0259">
        <w:rPr>
          <w:szCs w:val="23"/>
        </w:rPr>
        <w:t>sites</w:t>
      </w:r>
      <w:r w:rsidRPr="005F0259">
        <w:rPr>
          <w:i/>
          <w:szCs w:val="23"/>
        </w:rPr>
        <w:t xml:space="preserve"> 1, 3 – in italics</w:t>
      </w:r>
      <w:r w:rsidRPr="005F0259">
        <w:rPr>
          <w:szCs w:val="23"/>
        </w:rPr>
        <w:t xml:space="preserve">; </w:t>
      </w:r>
      <w:r w:rsidRPr="005F0259">
        <w:rPr>
          <w:i/>
          <w:szCs w:val="23"/>
        </w:rPr>
        <w:t>Guerrera</w:t>
      </w:r>
      <w:r w:rsidRPr="005F0259">
        <w:rPr>
          <w:szCs w:val="23"/>
        </w:rPr>
        <w:t xml:space="preserve"> et al. 1998, 2005). </w:t>
      </w:r>
      <w:r w:rsidRPr="005F0259">
        <w:rPr>
          <w:i/>
          <w:szCs w:val="23"/>
        </w:rPr>
        <w:t>Maate et al.</w:t>
      </w:r>
      <w:r w:rsidRPr="005F0259">
        <w:rPr>
          <w:szCs w:val="23"/>
        </w:rPr>
        <w:t xml:space="preserve"> (1995) report fragments of basalt and andesite lava in turbidites from western Maghreb (sites </w:t>
      </w:r>
      <w:r w:rsidRPr="005F0259">
        <w:rPr>
          <w:i/>
          <w:szCs w:val="23"/>
        </w:rPr>
        <w:t>4, 5, 6</w:t>
      </w:r>
      <w:r w:rsidRPr="005F0259">
        <w:rPr>
          <w:szCs w:val="23"/>
        </w:rPr>
        <w:t xml:space="preserve">). </w:t>
      </w:r>
      <w:r w:rsidRPr="005F0259">
        <w:rPr>
          <w:sz w:val="22"/>
          <w:szCs w:val="22"/>
        </w:rPr>
        <w:t xml:space="preserve">The “Bisciaro” formation volcanoclastics of the north Apennine Umbria-Marche region (sites </w:t>
      </w:r>
      <w:r w:rsidRPr="005F0259">
        <w:rPr>
          <w:i/>
          <w:sz w:val="22"/>
          <w:szCs w:val="22"/>
        </w:rPr>
        <w:t>27, 29</w:t>
      </w:r>
      <w:r w:rsidRPr="005F0259">
        <w:rPr>
          <w:sz w:val="22"/>
          <w:szCs w:val="22"/>
        </w:rPr>
        <w:t>) yielded K/Ar ages between ca. 22.3 and 17.1 Ma (</w:t>
      </w:r>
      <w:r w:rsidRPr="005F0259">
        <w:rPr>
          <w:i/>
          <w:sz w:val="22"/>
          <w:szCs w:val="22"/>
        </w:rPr>
        <w:t>Balogh et al</w:t>
      </w:r>
      <w:r w:rsidRPr="005F0259">
        <w:rPr>
          <w:sz w:val="22"/>
          <w:szCs w:val="22"/>
        </w:rPr>
        <w:t xml:space="preserve">., 1993). Rhyolitic-rhyodacitic glass shards and plagioclase phenocrysts are present in the “Bisciaro” type deposits of Montebello and Fossombrone (samples 3, B6/1, B8/7; B6(2), B8(1), 80, 80 mc; </w:t>
      </w:r>
      <w:r w:rsidRPr="005F0259">
        <w:rPr>
          <w:i/>
          <w:sz w:val="22"/>
          <w:szCs w:val="22"/>
        </w:rPr>
        <w:t>Guerrera et al</w:t>
      </w:r>
      <w:r w:rsidRPr="005F0259">
        <w:rPr>
          <w:sz w:val="22"/>
          <w:szCs w:val="22"/>
        </w:rPr>
        <w:t xml:space="preserve">., 1986; </w:t>
      </w:r>
      <w:r w:rsidRPr="005F0259">
        <w:rPr>
          <w:i/>
          <w:sz w:val="22"/>
          <w:szCs w:val="22"/>
        </w:rPr>
        <w:t>Coccioni et al</w:t>
      </w:r>
      <w:r w:rsidRPr="005F0259">
        <w:rPr>
          <w:sz w:val="22"/>
          <w:szCs w:val="22"/>
        </w:rPr>
        <w:t xml:space="preserve">., 1988). </w:t>
      </w:r>
      <w:r w:rsidRPr="005F0259">
        <w:rPr>
          <w:i/>
          <w:sz w:val="22"/>
          <w:szCs w:val="22"/>
        </w:rPr>
        <w:t>Delle Rose et al.</w:t>
      </w:r>
      <w:r w:rsidRPr="005F0259">
        <w:rPr>
          <w:sz w:val="22"/>
          <w:szCs w:val="22"/>
        </w:rPr>
        <w:t xml:space="preserve"> (1994a, b) reported the occurrence of rhyolitic glass of shoshonitic type among the volcanoclastic layers of the Vicchio marls (site </w:t>
      </w:r>
      <w:r w:rsidRPr="005F0259">
        <w:rPr>
          <w:i/>
          <w:sz w:val="22"/>
          <w:szCs w:val="22"/>
        </w:rPr>
        <w:t>29</w:t>
      </w:r>
      <w:r w:rsidRPr="005F0259">
        <w:rPr>
          <w:sz w:val="22"/>
          <w:szCs w:val="22"/>
        </w:rPr>
        <w:t xml:space="preserve">). Vicchio glass shards are accompanied by altered andesite clasts and sand-sized grains of fresh andesine, plagioclase, biotite. Conglomerate beds with pebble-size lava clasts of rhyolitic - rhyodacitic composition (samples A II, C 13A, B 12), and volcanic arenites are present in the Gorgoglione flysch (site </w:t>
      </w:r>
      <w:r w:rsidRPr="005F0259">
        <w:rPr>
          <w:i/>
          <w:sz w:val="22"/>
          <w:szCs w:val="22"/>
        </w:rPr>
        <w:t>22</w:t>
      </w:r>
      <w:r w:rsidRPr="005F0259">
        <w:rPr>
          <w:sz w:val="22"/>
          <w:szCs w:val="22"/>
        </w:rPr>
        <w:t xml:space="preserve">; </w:t>
      </w:r>
      <w:r w:rsidRPr="005F0259">
        <w:rPr>
          <w:i/>
          <w:sz w:val="22"/>
          <w:szCs w:val="22"/>
        </w:rPr>
        <w:t>Le Pera and Ventura</w:t>
      </w:r>
      <w:r w:rsidRPr="005F0259">
        <w:rPr>
          <w:sz w:val="22"/>
          <w:szCs w:val="22"/>
        </w:rPr>
        <w:t xml:space="preserve">, 1994). The clasts contain phenocrysts of plagioclase (An 5-30), K-feldspar, quartz and biotite. </w:t>
      </w:r>
      <w:r w:rsidRPr="005F0259">
        <w:rPr>
          <w:i/>
          <w:sz w:val="22"/>
          <w:szCs w:val="22"/>
          <w:u w:val="single"/>
        </w:rPr>
        <w:t>Langhian</w:t>
      </w:r>
      <w:r w:rsidRPr="005F0259">
        <w:rPr>
          <w:i/>
          <w:sz w:val="22"/>
          <w:szCs w:val="22"/>
        </w:rPr>
        <w:t>.</w:t>
      </w:r>
      <w:r w:rsidRPr="005F0259">
        <w:rPr>
          <w:sz w:val="22"/>
          <w:szCs w:val="22"/>
        </w:rPr>
        <w:t xml:space="preserve"> Pyroclastics of Langhian biostratigraphic age which bear rhyolitic glass shards and biotite crystals (site </w:t>
      </w:r>
      <w:r w:rsidRPr="005F0259">
        <w:rPr>
          <w:i/>
          <w:sz w:val="22"/>
          <w:szCs w:val="22"/>
        </w:rPr>
        <w:t>11</w:t>
      </w:r>
      <w:r w:rsidRPr="005F0259">
        <w:rPr>
          <w:sz w:val="22"/>
          <w:szCs w:val="22"/>
        </w:rPr>
        <w:t>; samples 7, 14) crop out in central Sicily (</w:t>
      </w:r>
      <w:r w:rsidRPr="005F0259">
        <w:rPr>
          <w:i/>
          <w:sz w:val="22"/>
          <w:szCs w:val="22"/>
        </w:rPr>
        <w:t>Spadea and Carmisciano</w:t>
      </w:r>
      <w:r w:rsidRPr="005F0259">
        <w:rPr>
          <w:sz w:val="22"/>
          <w:szCs w:val="22"/>
        </w:rPr>
        <w:t>; 1974).</w:t>
      </w:r>
    </w:p>
    <w:p w:rsidR="00564975" w:rsidRPr="005F0259" w:rsidRDefault="00564975" w:rsidP="00564975">
      <w:pPr>
        <w:spacing w:line="240" w:lineRule="auto"/>
        <w:rPr>
          <w:i/>
          <w:shadow/>
          <w:sz w:val="22"/>
          <w:szCs w:val="22"/>
          <w:u w:val="single"/>
        </w:rPr>
      </w:pPr>
      <w:r w:rsidRPr="005F0259">
        <w:rPr>
          <w:i/>
          <w:shadow/>
          <w:sz w:val="22"/>
          <w:szCs w:val="22"/>
          <w:u w:val="single"/>
        </w:rPr>
        <w:t xml:space="preserve">The buried volcano of Pieve S. Stefano </w:t>
      </w:r>
    </w:p>
    <w:p w:rsidR="00564975" w:rsidRPr="0064535E" w:rsidRDefault="00564975" w:rsidP="00564975">
      <w:pPr>
        <w:pStyle w:val="Testonormale"/>
        <w:spacing w:line="240" w:lineRule="auto"/>
        <w:ind w:firstLine="720"/>
        <w:jc w:val="both"/>
        <w:rPr>
          <w:rFonts w:ascii="Times New Roman" w:hAnsi="Times New Roman" w:cs="Times New Roman"/>
          <w:iCs/>
          <w:sz w:val="22"/>
          <w:szCs w:val="22"/>
          <w:lang w:val="en-GB"/>
        </w:rPr>
      </w:pPr>
      <w:r w:rsidRPr="005F0259">
        <w:rPr>
          <w:rFonts w:ascii="Times New Roman" w:hAnsi="Times New Roman" w:cs="Times New Roman"/>
          <w:sz w:val="22"/>
          <w:szCs w:val="22"/>
          <w:lang w:val="en-GB"/>
        </w:rPr>
        <w:t>In the northern Apennines (site 13a) the oil drilling of Pieve S. Stefano recovered calc-alkaline volcanics (</w:t>
      </w:r>
      <w:r w:rsidRPr="005F0259">
        <w:rPr>
          <w:rFonts w:ascii="Times New Roman" w:hAnsi="Times New Roman" w:cs="Times New Roman"/>
          <w:i/>
          <w:sz w:val="22"/>
          <w:szCs w:val="22"/>
          <w:lang w:val="en-GB"/>
        </w:rPr>
        <w:t>ENI/AGIP</w:t>
      </w:r>
      <w:r w:rsidRPr="005F0259">
        <w:rPr>
          <w:rFonts w:ascii="Times New Roman" w:hAnsi="Times New Roman" w:cs="Times New Roman"/>
          <w:sz w:val="22"/>
          <w:szCs w:val="22"/>
          <w:lang w:val="en-GB"/>
        </w:rPr>
        <w:t xml:space="preserve"> </w:t>
      </w:r>
      <w:r w:rsidRPr="005F0259">
        <w:rPr>
          <w:rFonts w:ascii="Times New Roman" w:hAnsi="Times New Roman" w:cs="Times New Roman"/>
          <w:i/>
          <w:sz w:val="22"/>
          <w:szCs w:val="22"/>
          <w:lang w:val="en-GB"/>
        </w:rPr>
        <w:t>report - San Donato Milanese, June</w:t>
      </w:r>
      <w:r w:rsidRPr="005F0259">
        <w:rPr>
          <w:rFonts w:ascii="Times New Roman" w:hAnsi="Times New Roman" w:cs="Times New Roman"/>
          <w:sz w:val="22"/>
          <w:szCs w:val="22"/>
          <w:lang w:val="en-GB"/>
        </w:rPr>
        <w:t xml:space="preserve"> 1984; </w:t>
      </w:r>
      <w:r w:rsidRPr="005F0259">
        <w:rPr>
          <w:rFonts w:ascii="Times New Roman" w:hAnsi="Times New Roman" w:cs="Times New Roman"/>
          <w:i/>
          <w:sz w:val="22"/>
          <w:szCs w:val="22"/>
          <w:lang w:val="en-GB"/>
        </w:rPr>
        <w:t>Anelli et al</w:t>
      </w:r>
      <w:r w:rsidRPr="005F0259">
        <w:rPr>
          <w:rFonts w:ascii="Times New Roman" w:hAnsi="Times New Roman" w:cs="Times New Roman"/>
          <w:sz w:val="22"/>
          <w:szCs w:val="22"/>
          <w:lang w:val="en-GB"/>
        </w:rPr>
        <w:t>., 1994). The 850 m thick igneous sequence ends at drilling depth of ca. 4900 m. The core samples m 3870-1 and -2 consist respectively of pyroxene-bearing andesite lava and andesite pyroclastics. The presence of</w:t>
      </w:r>
      <w:r w:rsidRPr="0064535E">
        <w:rPr>
          <w:rFonts w:ascii="Times New Roman" w:hAnsi="Times New Roman" w:cs="Times New Roman"/>
          <w:sz w:val="22"/>
          <w:szCs w:val="22"/>
          <w:lang w:val="en-GB"/>
        </w:rPr>
        <w:t xml:space="preserve"> “brown-red”colour surfaces likely suggests not less than ten eruptive events. The volcanic sequence was interrupted by two large anhydrite slivers belonging to the Triassic Burano formation. The evaporitic layers, up to one hundred meter thick were probably crucial for the strong tectonic displacement of this igneous sequence. Pervasive alteration produced the replacement of primary mineralogy with hydrothermal minerals. The increase with depth of epidote content and other hydrothermal alteration products of the deep-seated Pieve S. Stefano volcano supports the idea that the original eruptive sequence might have been preserved. Three samples of decalcified andesite grains from core interval 3864 – 3872 m yield radiogenic </w:t>
      </w:r>
      <w:r w:rsidRPr="0064535E">
        <w:rPr>
          <w:rFonts w:ascii="Times New Roman" w:hAnsi="Times New Roman" w:cs="Times New Roman"/>
          <w:sz w:val="22"/>
          <w:szCs w:val="22"/>
          <w:vertAlign w:val="superscript"/>
          <w:lang w:val="en-GB"/>
        </w:rPr>
        <w:t>40</w:t>
      </w:r>
      <w:r w:rsidRPr="0064535E">
        <w:rPr>
          <w:rFonts w:ascii="Times New Roman" w:hAnsi="Times New Roman" w:cs="Times New Roman"/>
          <w:sz w:val="22"/>
          <w:szCs w:val="22"/>
          <w:lang w:val="en-GB"/>
        </w:rPr>
        <w:t>Ar contents of (1.333, 1.179, 1.012) x 10</w:t>
      </w:r>
      <w:r w:rsidRPr="0064535E">
        <w:rPr>
          <w:rFonts w:ascii="Times New Roman" w:hAnsi="Times New Roman" w:cs="Times New Roman"/>
          <w:sz w:val="22"/>
          <w:szCs w:val="22"/>
          <w:vertAlign w:val="superscript"/>
          <w:lang w:val="en-GB"/>
        </w:rPr>
        <w:t>-3</w:t>
      </w:r>
      <w:r w:rsidRPr="0064535E">
        <w:rPr>
          <w:rFonts w:ascii="Times New Roman" w:hAnsi="Times New Roman" w:cs="Times New Roman"/>
          <w:sz w:val="22"/>
          <w:szCs w:val="22"/>
          <w:lang w:val="en-GB"/>
        </w:rPr>
        <w:t xml:space="preserve"> mm</w:t>
      </w:r>
      <w:r w:rsidRPr="0064535E">
        <w:rPr>
          <w:rFonts w:ascii="Times New Roman" w:hAnsi="Times New Roman" w:cs="Times New Roman"/>
          <w:sz w:val="22"/>
          <w:szCs w:val="22"/>
          <w:vertAlign w:val="superscript"/>
          <w:lang w:val="en-GB"/>
        </w:rPr>
        <w:t>3</w:t>
      </w:r>
      <w:r w:rsidRPr="0064535E">
        <w:rPr>
          <w:rFonts w:ascii="Times New Roman" w:hAnsi="Times New Roman" w:cs="Times New Roman"/>
          <w:sz w:val="22"/>
          <w:szCs w:val="22"/>
          <w:lang w:val="en-GB"/>
        </w:rPr>
        <w:t>/gram. Apparent ages of 33.8, 30.0, 25.7 Ma are obtained by K</w:t>
      </w:r>
      <w:r w:rsidRPr="0064535E">
        <w:rPr>
          <w:rFonts w:ascii="Times New Roman" w:hAnsi="Times New Roman" w:cs="Times New Roman"/>
          <w:sz w:val="22"/>
          <w:szCs w:val="22"/>
          <w:vertAlign w:val="subscript"/>
          <w:lang w:val="en-GB"/>
        </w:rPr>
        <w:t>2</w:t>
      </w:r>
      <w:r w:rsidRPr="0064535E">
        <w:rPr>
          <w:rFonts w:ascii="Times New Roman" w:hAnsi="Times New Roman" w:cs="Times New Roman"/>
          <w:sz w:val="22"/>
          <w:szCs w:val="22"/>
          <w:lang w:val="en-GB"/>
        </w:rPr>
        <w:t>O content of 1.21 %. Precisely repeated datings are not to be expected from the altered rocks of Pieve S. Stefano. If the average date of 29.8 Ma is a true date, it indicates the approximate timing of alteration rather than that of eruption.</w:t>
      </w:r>
    </w:p>
    <w:p w:rsidR="00564975" w:rsidRPr="0064535E" w:rsidRDefault="00564975" w:rsidP="00564975">
      <w:pPr>
        <w:spacing w:line="240" w:lineRule="auto"/>
        <w:rPr>
          <w:i/>
          <w:shadow/>
          <w:sz w:val="22"/>
          <w:szCs w:val="22"/>
          <w:u w:val="single"/>
        </w:rPr>
      </w:pPr>
      <w:r w:rsidRPr="0064535E">
        <w:rPr>
          <w:i/>
          <w:shadow/>
          <w:sz w:val="22"/>
          <w:szCs w:val="22"/>
          <w:u w:val="single"/>
        </w:rPr>
        <w:t>Start of WNW-directed subduction and the “lost volcanoes”</w:t>
      </w:r>
      <w:r>
        <w:rPr>
          <w:i/>
          <w:shadow/>
          <w:sz w:val="22"/>
          <w:szCs w:val="22"/>
          <w:u w:val="single"/>
        </w:rPr>
        <w:t>.</w:t>
      </w:r>
    </w:p>
    <w:p w:rsidR="00564975" w:rsidRDefault="00564975" w:rsidP="00564975">
      <w:pPr>
        <w:spacing w:line="240" w:lineRule="auto"/>
        <w:ind w:firstLine="720"/>
        <w:rPr>
          <w:sz w:val="22"/>
          <w:szCs w:val="22"/>
        </w:rPr>
      </w:pPr>
      <w:r w:rsidRPr="005F0259">
        <w:rPr>
          <w:sz w:val="22"/>
          <w:szCs w:val="22"/>
        </w:rPr>
        <w:t>Overall, postorogenic lithosphere rupture and volcanism of calc-alkaline nature produce alternance of fault-bounded horst, exposing crystalline-metamorphic and volcanic rocks, and grabens that contain thick deposits of volcanoclastic and siliciclastic nature (</w:t>
      </w:r>
      <w:r w:rsidRPr="005F0259">
        <w:rPr>
          <w:i/>
          <w:sz w:val="22"/>
          <w:szCs w:val="22"/>
        </w:rPr>
        <w:t>Stewart</w:t>
      </w:r>
      <w:r w:rsidRPr="005F0259">
        <w:rPr>
          <w:sz w:val="22"/>
          <w:szCs w:val="22"/>
        </w:rPr>
        <w:t xml:space="preserve">, 1978; </w:t>
      </w:r>
      <w:r w:rsidRPr="005F0259">
        <w:rPr>
          <w:i/>
          <w:sz w:val="22"/>
          <w:szCs w:val="22"/>
        </w:rPr>
        <w:t>Hawkesworth et al</w:t>
      </w:r>
      <w:r w:rsidRPr="005F0259">
        <w:rPr>
          <w:sz w:val="22"/>
          <w:szCs w:val="22"/>
        </w:rPr>
        <w:t xml:space="preserve">., 1995; </w:t>
      </w:r>
      <w:r w:rsidRPr="005F0259">
        <w:rPr>
          <w:i/>
          <w:sz w:val="22"/>
          <w:szCs w:val="22"/>
        </w:rPr>
        <w:t>Hooper et al</w:t>
      </w:r>
      <w:r w:rsidRPr="005F0259">
        <w:rPr>
          <w:sz w:val="22"/>
          <w:szCs w:val="22"/>
        </w:rPr>
        <w:t>., 1995). Calc-alkaline volcanoclastic deposits of Oligocene – Burdigalian age are found as allochthonous bodies in the Apennines in the absence of volcanic emission centres (Fig. 3). This geotectonic reconstruction considers that, at the nascence of WNW subduction and thrusting</w:t>
      </w:r>
      <w:r w:rsidRPr="0064535E">
        <w:rPr>
          <w:sz w:val="22"/>
          <w:szCs w:val="22"/>
        </w:rPr>
        <w:t xml:space="preserve"> beneath the Apennines</w:t>
      </w:r>
      <w:r>
        <w:rPr>
          <w:sz w:val="22"/>
          <w:szCs w:val="22"/>
        </w:rPr>
        <w:t xml:space="preserve"> </w:t>
      </w:r>
      <w:r w:rsidRPr="0064535E">
        <w:rPr>
          <w:sz w:val="22"/>
          <w:szCs w:val="22"/>
        </w:rPr>
        <w:t>(ca. 16/15 Ma), the submerged Tyrrhenian OAA</w:t>
      </w:r>
      <w:r>
        <w:rPr>
          <w:sz w:val="22"/>
          <w:szCs w:val="22"/>
        </w:rPr>
        <w:t>,</w:t>
      </w:r>
      <w:r w:rsidRPr="0064535E">
        <w:rPr>
          <w:sz w:val="22"/>
          <w:szCs w:val="22"/>
        </w:rPr>
        <w:t xml:space="preserve"> source area of the allochthonous volcanoclastics was probably affected by </w:t>
      </w:r>
      <w:r>
        <w:rPr>
          <w:sz w:val="22"/>
          <w:szCs w:val="22"/>
        </w:rPr>
        <w:t xml:space="preserve">commencement of </w:t>
      </w:r>
      <w:r w:rsidRPr="0064535E">
        <w:rPr>
          <w:sz w:val="22"/>
          <w:szCs w:val="22"/>
        </w:rPr>
        <w:t xml:space="preserve">inversion tectonics in which compression follows the extension-dominated phase. The fate of the volcanoclastics could have been determined by a </w:t>
      </w:r>
      <w:r w:rsidRPr="0064535E">
        <w:rPr>
          <w:sz w:val="22"/>
          <w:szCs w:val="22"/>
        </w:rPr>
        <w:lastRenderedPageBreak/>
        <w:t xml:space="preserve">significant change of tectonic mode </w:t>
      </w:r>
      <w:r>
        <w:rPr>
          <w:sz w:val="22"/>
          <w:szCs w:val="22"/>
        </w:rPr>
        <w:t>in</w:t>
      </w:r>
      <w:r w:rsidRPr="0064535E">
        <w:rPr>
          <w:sz w:val="22"/>
          <w:szCs w:val="22"/>
        </w:rPr>
        <w:t xml:space="preserve"> their former sites of origin. By the start of WNW subduction, inversion tectonics could initiate the down-faulting of the original horst volcanoes (past topographic highs) and the thrusting of the fault-bounded grabens bearing volcanoclastic deposits (former lows). Rupture of the original upper plate horst-graben architecture probably initiated gradual downdrag and upthrust motions which were at the origin of the loss of the original topographic highs (volcanic horsts) and preservation of the lows (fault-bounded grabens bearing volcanoclastic deposits). In the more orthodox concept of West-Mediterranean-Tyrrhenian evolution, the persistent WNW subduction of the last 33/32 Ma excludes horst-graben inversion in which a contractional phase follows the extensional phase.</w:t>
      </w:r>
    </w:p>
    <w:p w:rsidR="00564975" w:rsidRPr="0064535E" w:rsidRDefault="00564975" w:rsidP="00564975">
      <w:pPr>
        <w:spacing w:line="240" w:lineRule="auto"/>
        <w:ind w:firstLine="720"/>
        <w:rPr>
          <w:sz w:val="22"/>
          <w:szCs w:val="22"/>
        </w:rPr>
      </w:pPr>
    </w:p>
    <w:p w:rsidR="00564975" w:rsidRPr="0064535E" w:rsidRDefault="00564975" w:rsidP="00564975">
      <w:pPr>
        <w:spacing w:line="240" w:lineRule="auto"/>
        <w:rPr>
          <w:sz w:val="22"/>
          <w:szCs w:val="22"/>
        </w:rPr>
      </w:pPr>
    </w:p>
    <w:p w:rsidR="00DF26C1" w:rsidRDefault="00DF26C1" w:rsidP="0072057D">
      <w:pPr>
        <w:pStyle w:val="Testonormale"/>
        <w:spacing w:line="240" w:lineRule="auto"/>
        <w:jc w:val="both"/>
        <w:rPr>
          <w:sz w:val="22"/>
          <w:szCs w:val="22"/>
        </w:rPr>
      </w:pPr>
      <w:r>
        <w:rPr>
          <w:rFonts w:ascii="Times New Roman" w:hAnsi="Times New Roman" w:cs="Times New Roman"/>
          <w:b/>
          <w:bCs/>
          <w:sz w:val="22"/>
          <w:szCs w:val="22"/>
          <w:lang w:val="en-GB"/>
        </w:rPr>
        <w:t>Supplementary –Table S4:</w:t>
      </w:r>
      <w:r w:rsidRPr="0064535E">
        <w:rPr>
          <w:rFonts w:ascii="Times New Roman" w:hAnsi="Times New Roman" w:cs="Times New Roman"/>
          <w:b/>
          <w:bCs/>
          <w:sz w:val="22"/>
          <w:szCs w:val="22"/>
          <w:lang w:val="en-GB"/>
        </w:rPr>
        <w:t xml:space="preserve"> </w:t>
      </w:r>
      <w:r w:rsidRPr="00284D19">
        <w:rPr>
          <w:sz w:val="22"/>
          <w:szCs w:val="22"/>
          <w:lang w:val="en-GB"/>
        </w:rPr>
        <w:t xml:space="preserve">Table </w:t>
      </w:r>
      <w:r>
        <w:rPr>
          <w:sz w:val="22"/>
          <w:szCs w:val="22"/>
          <w:lang w:val="en-GB"/>
        </w:rPr>
        <w:t>of</w:t>
      </w:r>
      <w:r w:rsidRPr="00284D19">
        <w:rPr>
          <w:sz w:val="22"/>
          <w:szCs w:val="22"/>
          <w:lang w:val="en-GB"/>
        </w:rPr>
        <w:t xml:space="preserve"> </w:t>
      </w:r>
      <w:r>
        <w:rPr>
          <w:sz w:val="22"/>
          <w:szCs w:val="22"/>
          <w:lang w:val="en-GB"/>
        </w:rPr>
        <w:t>r</w:t>
      </w:r>
      <w:r w:rsidRPr="00284D19">
        <w:rPr>
          <w:sz w:val="22"/>
          <w:szCs w:val="22"/>
          <w:lang w:val="en-GB"/>
        </w:rPr>
        <w:t xml:space="preserve">evisited geochemistry and age data of calc-alkaline </w:t>
      </w:r>
      <w:r>
        <w:rPr>
          <w:sz w:val="22"/>
          <w:szCs w:val="22"/>
          <w:lang w:val="en-GB"/>
        </w:rPr>
        <w:t>volcanics</w:t>
      </w:r>
      <w:r w:rsidRPr="00284D19">
        <w:rPr>
          <w:sz w:val="22"/>
          <w:szCs w:val="22"/>
          <w:lang w:val="en-GB"/>
        </w:rPr>
        <w:t xml:space="preserve"> showing Oligocene to Langhian/Tortonian age (west Mediterranean region); major oxides (weight %)</w:t>
      </w:r>
      <w:r w:rsidRPr="00284D19">
        <w:rPr>
          <w:sz w:val="22"/>
          <w:szCs w:val="22"/>
          <w:vertAlign w:val="subscript"/>
          <w:lang w:val="en-GB"/>
        </w:rPr>
        <w:t xml:space="preserve"> </w:t>
      </w:r>
      <w:r w:rsidRPr="00284D19">
        <w:rPr>
          <w:sz w:val="22"/>
          <w:szCs w:val="22"/>
          <w:lang w:val="en-GB"/>
        </w:rPr>
        <w:t xml:space="preserve">and trace elements (ppm). </w:t>
      </w:r>
      <w:r w:rsidRPr="0064535E">
        <w:rPr>
          <w:sz w:val="22"/>
          <w:szCs w:val="22"/>
          <w:u w:val="single"/>
        </w:rPr>
        <w:t>European plate</w:t>
      </w:r>
      <w:r w:rsidRPr="0064535E">
        <w:rPr>
          <w:sz w:val="22"/>
          <w:szCs w:val="22"/>
        </w:rPr>
        <w:t xml:space="preserve">; data source: 1) Ryan et al., 1972; 2) Civetta et al., 1978; 3) courtesy of H. Bellon; 4) Savelli et al., 1979; 5) Bellon, 1981; 6) Montigny et al., 1981; 7) Marti' et al., 1992; 8) Beccaluva et al., 1994; 9) Morra et al., 1994; 10) Argnani et al., 1995; 11) Conti, 1997; 12) Morra et al., 1997; 13) Rossi et al., 1998; 14) Mattioli et al., 2000; 15) Downes et al., 2001; 16) Mascle et al., 2001; 17) Ottaviani et al., 2001; 18) Franciosi et al., 2003; 19) Conticelli et al., 2007; 20) Conticelli et al., 2009. </w:t>
      </w:r>
      <w:r w:rsidRPr="0064535E">
        <w:rPr>
          <w:sz w:val="22"/>
          <w:szCs w:val="22"/>
          <w:u w:val="single"/>
        </w:rPr>
        <w:t>Alboran-Betic segment of OAA</w:t>
      </w:r>
      <w:r w:rsidRPr="0064535E">
        <w:rPr>
          <w:sz w:val="22"/>
          <w:szCs w:val="22"/>
        </w:rPr>
        <w:t>; data source: 21) Torres Roldan et al., 1986; 22) Di Battistini et al., 1987; 23) Benito et al., 1999; 24) Hoernle et al., 1999; 25) Turner et al., 1999; 26) Duggen et a</w:t>
      </w:r>
      <w:r>
        <w:rPr>
          <w:sz w:val="22"/>
          <w:szCs w:val="22"/>
        </w:rPr>
        <w:t>l., 2004; 27) Gill et al., 2004.</w:t>
      </w:r>
      <w:r w:rsidRPr="0064535E">
        <w:rPr>
          <w:sz w:val="22"/>
          <w:szCs w:val="22"/>
        </w:rPr>
        <w:t xml:space="preserve"> </w:t>
      </w:r>
      <w:r w:rsidRPr="0064535E">
        <w:rPr>
          <w:sz w:val="22"/>
          <w:szCs w:val="22"/>
          <w:u w:val="single"/>
        </w:rPr>
        <w:t>African segment of OAA</w:t>
      </w:r>
      <w:r w:rsidRPr="0064535E">
        <w:rPr>
          <w:sz w:val="22"/>
          <w:szCs w:val="22"/>
        </w:rPr>
        <w:t xml:space="preserve">; data source: 5) Bellon, 1981; 28) Belanteur et., 1995; 29) Louni-Hacini etal., 1995; 30) El Bakkali et al., 1998; 31) El Azzouzi et al., 1999; 32) Fourcade et al 2001; 33) Maury et al., 2000. Serial affinity: hK-CA = high potassic calc-alkaline; </w:t>
      </w:r>
      <w:r w:rsidRPr="0064535E">
        <w:rPr>
          <w:sz w:val="22"/>
          <w:szCs w:val="22"/>
          <w:lang w:eastAsia="en-GB"/>
        </w:rPr>
        <w:t>HAB = high alumina basalt;</w:t>
      </w:r>
      <w:r w:rsidRPr="0064535E">
        <w:rPr>
          <w:sz w:val="22"/>
          <w:szCs w:val="22"/>
        </w:rPr>
        <w:t xml:space="preserve"> </w:t>
      </w:r>
      <w:r w:rsidRPr="0064535E">
        <w:rPr>
          <w:sz w:val="22"/>
          <w:szCs w:val="22"/>
          <w:lang w:eastAsia="en-GB"/>
        </w:rPr>
        <w:t xml:space="preserve">HMB = high magnesium basalt; mK-CA = medium potassic </w:t>
      </w:r>
      <w:r w:rsidRPr="0064535E">
        <w:rPr>
          <w:sz w:val="22"/>
          <w:szCs w:val="22"/>
        </w:rPr>
        <w:t xml:space="preserve">calc-alkaline. OAA = (Mediterranean) orogen of Alpine age. Geological age: Ol-Aq = Oligocene </w:t>
      </w:r>
      <w:r>
        <w:rPr>
          <w:sz w:val="22"/>
          <w:szCs w:val="22"/>
        </w:rPr>
        <w:t>–</w:t>
      </w:r>
      <w:r w:rsidRPr="0064535E">
        <w:rPr>
          <w:sz w:val="22"/>
          <w:szCs w:val="22"/>
        </w:rPr>
        <w:t xml:space="preserve"> Aquitanian</w:t>
      </w:r>
      <w:r>
        <w:rPr>
          <w:sz w:val="22"/>
          <w:szCs w:val="22"/>
        </w:rPr>
        <w:t xml:space="preserve"> (33/32-20 Ma)</w:t>
      </w:r>
      <w:r w:rsidRPr="0064535E">
        <w:rPr>
          <w:sz w:val="22"/>
          <w:szCs w:val="22"/>
        </w:rPr>
        <w:t>; Burd = Burdigalian</w:t>
      </w:r>
      <w:r>
        <w:rPr>
          <w:sz w:val="22"/>
          <w:szCs w:val="22"/>
        </w:rPr>
        <w:t xml:space="preserve"> (20-16 Ma)</w:t>
      </w:r>
      <w:r w:rsidRPr="0064535E">
        <w:rPr>
          <w:sz w:val="22"/>
          <w:szCs w:val="22"/>
        </w:rPr>
        <w:t>; Bu/La = Burdigalian/Langhian transition</w:t>
      </w:r>
      <w:r>
        <w:rPr>
          <w:sz w:val="22"/>
          <w:szCs w:val="22"/>
        </w:rPr>
        <w:t xml:space="preserve"> (16-14 Ma)</w:t>
      </w:r>
      <w:r w:rsidRPr="0064535E">
        <w:rPr>
          <w:sz w:val="22"/>
          <w:szCs w:val="22"/>
        </w:rPr>
        <w:t>; La - L. Mio = Langhian - late Miocene</w:t>
      </w:r>
      <w:r>
        <w:rPr>
          <w:sz w:val="22"/>
          <w:szCs w:val="22"/>
        </w:rPr>
        <w:t xml:space="preserve"> (15-8 Ma)</w:t>
      </w:r>
      <w:r w:rsidRPr="0064535E">
        <w:rPr>
          <w:sz w:val="22"/>
          <w:szCs w:val="22"/>
        </w:rPr>
        <w:t>.</w:t>
      </w:r>
      <w:r>
        <w:rPr>
          <w:sz w:val="22"/>
          <w:szCs w:val="22"/>
        </w:rPr>
        <w:t xml:space="preserve"> </w:t>
      </w:r>
    </w:p>
    <w:p w:rsidR="00DF26C1" w:rsidRDefault="00DF26C1" w:rsidP="0072057D">
      <w:pPr>
        <w:suppressAutoHyphens w:val="0"/>
        <w:autoSpaceDE/>
        <w:spacing w:line="240" w:lineRule="auto"/>
        <w:jc w:val="left"/>
        <w:rPr>
          <w:rFonts w:ascii="New York" w:hAnsi="New York" w:cs="New York"/>
          <w:sz w:val="22"/>
          <w:szCs w:val="22"/>
          <w:lang w:val="it-IT" w:eastAsia="it-IT"/>
        </w:rPr>
      </w:pPr>
      <w:r>
        <w:rPr>
          <w:rFonts w:ascii="New York" w:hAnsi="New York" w:cs="New York"/>
          <w:sz w:val="22"/>
          <w:szCs w:val="22"/>
          <w:lang w:val="it-IT" w:eastAsia="it-IT"/>
        </w:rPr>
        <w:br w:type="page"/>
      </w:r>
    </w:p>
    <w:p w:rsidR="00DF26C1" w:rsidRDefault="00DF26C1" w:rsidP="00DF26C1">
      <w:pPr>
        <w:ind w:left="-1418"/>
        <w:rPr>
          <w:lang w:val="it-IT"/>
        </w:rPr>
      </w:pPr>
    </w:p>
    <w:tbl>
      <w:tblPr>
        <w:tblW w:w="15854" w:type="dxa"/>
        <w:tblInd w:w="-1440" w:type="dxa"/>
        <w:tblLayout w:type="fixed"/>
        <w:tblCellMar>
          <w:left w:w="0" w:type="dxa"/>
          <w:right w:w="0" w:type="dxa"/>
        </w:tblCellMar>
        <w:tblLook w:val="0000"/>
      </w:tblPr>
      <w:tblGrid>
        <w:gridCol w:w="921"/>
        <w:gridCol w:w="503"/>
        <w:gridCol w:w="624"/>
        <w:gridCol w:w="559"/>
        <w:gridCol w:w="503"/>
        <w:gridCol w:w="611"/>
        <w:gridCol w:w="437"/>
        <w:gridCol w:w="320"/>
        <w:gridCol w:w="262"/>
        <w:gridCol w:w="294"/>
        <w:gridCol w:w="293"/>
        <w:gridCol w:w="308"/>
        <w:gridCol w:w="353"/>
        <w:gridCol w:w="234"/>
        <w:gridCol w:w="224"/>
        <w:gridCol w:w="269"/>
        <w:gridCol w:w="261"/>
        <w:gridCol w:w="278"/>
        <w:gridCol w:w="237"/>
        <w:gridCol w:w="296"/>
        <w:gridCol w:w="274"/>
        <w:gridCol w:w="350"/>
        <w:gridCol w:w="259"/>
        <w:gridCol w:w="270"/>
        <w:gridCol w:w="253"/>
        <w:gridCol w:w="245"/>
        <w:gridCol w:w="259"/>
        <w:gridCol w:w="223"/>
        <w:gridCol w:w="281"/>
        <w:gridCol w:w="231"/>
        <w:gridCol w:w="255"/>
        <w:gridCol w:w="302"/>
        <w:gridCol w:w="259"/>
        <w:gridCol w:w="147"/>
        <w:gridCol w:w="146"/>
        <w:gridCol w:w="250"/>
        <w:gridCol w:w="248"/>
        <w:gridCol w:w="232"/>
        <w:gridCol w:w="264"/>
        <w:gridCol w:w="118"/>
        <w:gridCol w:w="107"/>
        <w:gridCol w:w="225"/>
        <w:gridCol w:w="625"/>
        <w:gridCol w:w="573"/>
        <w:gridCol w:w="607"/>
        <w:gridCol w:w="359"/>
        <w:gridCol w:w="358"/>
        <w:gridCol w:w="347"/>
      </w:tblGrid>
      <w:tr w:rsidR="00DF26C1" w:rsidTr="007B6DBD">
        <w:trPr>
          <w:trHeight w:hRule="exact" w:val="160"/>
        </w:trPr>
        <w:tc>
          <w:tcPr>
            <w:tcW w:w="921" w:type="dxa"/>
            <w:tcBorders>
              <w:top w:val="nil"/>
              <w:left w:val="nil"/>
              <w:bottom w:val="nil"/>
              <w:right w:val="nil"/>
            </w:tcBorders>
          </w:tcPr>
          <w:p w:rsidR="00DF26C1" w:rsidRDefault="00DF26C1" w:rsidP="007B6DBD">
            <w:pPr>
              <w:pStyle w:val="TableParagraph"/>
              <w:kinsoku w:val="0"/>
              <w:overflowPunct w:val="0"/>
              <w:spacing w:before="22"/>
              <w:ind w:left="23"/>
            </w:pPr>
            <w:r>
              <w:rPr>
                <w:rFonts w:ascii="Arial" w:hAnsi="Arial" w:cs="Arial"/>
                <w:w w:val="105"/>
                <w:sz w:val="9"/>
                <w:szCs w:val="9"/>
              </w:rPr>
              <w:t>Table S4. Location</w:t>
            </w:r>
          </w:p>
        </w:tc>
        <w:tc>
          <w:tcPr>
            <w:tcW w:w="503" w:type="dxa"/>
            <w:tcBorders>
              <w:top w:val="nil"/>
              <w:left w:val="nil"/>
              <w:bottom w:val="nil"/>
              <w:right w:val="nil"/>
            </w:tcBorders>
          </w:tcPr>
          <w:p w:rsidR="00DF26C1" w:rsidRDefault="00DF26C1" w:rsidP="007B6DBD">
            <w:pPr>
              <w:pStyle w:val="TableParagraph"/>
              <w:kinsoku w:val="0"/>
              <w:overflowPunct w:val="0"/>
              <w:spacing w:before="22"/>
              <w:ind w:left="34"/>
            </w:pPr>
            <w:r>
              <w:rPr>
                <w:rFonts w:ascii="Arial" w:hAnsi="Arial" w:cs="Arial"/>
                <w:w w:val="105"/>
                <w:sz w:val="9"/>
                <w:szCs w:val="9"/>
              </w:rPr>
              <w:t>Site, Fig.</w:t>
            </w:r>
            <w:r>
              <w:rPr>
                <w:rFonts w:ascii="Arial" w:hAnsi="Arial" w:cs="Arial"/>
                <w:spacing w:val="-5"/>
                <w:w w:val="105"/>
                <w:sz w:val="9"/>
                <w:szCs w:val="9"/>
              </w:rPr>
              <w:t xml:space="preserve"> </w:t>
            </w:r>
            <w:r>
              <w:rPr>
                <w:rFonts w:ascii="Arial" w:hAnsi="Arial" w:cs="Arial"/>
                <w:w w:val="105"/>
                <w:sz w:val="9"/>
                <w:szCs w:val="9"/>
              </w:rPr>
              <w:t>3</w:t>
            </w:r>
          </w:p>
        </w:tc>
        <w:tc>
          <w:tcPr>
            <w:tcW w:w="624" w:type="dxa"/>
            <w:tcBorders>
              <w:top w:val="nil"/>
              <w:left w:val="nil"/>
              <w:bottom w:val="nil"/>
              <w:right w:val="nil"/>
            </w:tcBorders>
          </w:tcPr>
          <w:p w:rsidR="00DF26C1" w:rsidRDefault="00DF26C1" w:rsidP="007B6DBD">
            <w:pPr>
              <w:pStyle w:val="TableParagraph"/>
              <w:kinsoku w:val="0"/>
              <w:overflowPunct w:val="0"/>
              <w:spacing w:before="22"/>
              <w:ind w:left="16"/>
            </w:pPr>
            <w:r>
              <w:rPr>
                <w:rFonts w:ascii="Arial" w:hAnsi="Arial" w:cs="Arial"/>
                <w:w w:val="105"/>
                <w:sz w:val="9"/>
                <w:szCs w:val="9"/>
              </w:rPr>
              <w:t>Rock</w:t>
            </w:r>
            <w:r>
              <w:rPr>
                <w:rFonts w:ascii="Arial" w:hAnsi="Arial" w:cs="Arial"/>
                <w:spacing w:val="1"/>
                <w:w w:val="105"/>
                <w:sz w:val="9"/>
                <w:szCs w:val="9"/>
              </w:rPr>
              <w:t xml:space="preserve"> </w:t>
            </w:r>
            <w:r>
              <w:rPr>
                <w:rFonts w:ascii="Arial" w:hAnsi="Arial" w:cs="Arial"/>
                <w:w w:val="105"/>
                <w:sz w:val="9"/>
                <w:szCs w:val="9"/>
              </w:rPr>
              <w:t>type</w:t>
            </w:r>
          </w:p>
        </w:tc>
        <w:tc>
          <w:tcPr>
            <w:tcW w:w="559" w:type="dxa"/>
            <w:tcBorders>
              <w:top w:val="nil"/>
              <w:left w:val="nil"/>
              <w:bottom w:val="nil"/>
              <w:right w:val="nil"/>
            </w:tcBorders>
          </w:tcPr>
          <w:p w:rsidR="00DF26C1" w:rsidRDefault="00DF26C1" w:rsidP="007B6DBD">
            <w:pPr>
              <w:pStyle w:val="TableParagraph"/>
              <w:kinsoku w:val="0"/>
              <w:overflowPunct w:val="0"/>
              <w:spacing w:before="22"/>
              <w:ind w:left="186"/>
            </w:pPr>
            <w:r>
              <w:rPr>
                <w:rFonts w:ascii="Arial" w:hAnsi="Arial" w:cs="Arial"/>
                <w:w w:val="105"/>
                <w:sz w:val="9"/>
                <w:szCs w:val="9"/>
              </w:rPr>
              <w:t>Note</w:t>
            </w:r>
          </w:p>
        </w:tc>
        <w:tc>
          <w:tcPr>
            <w:tcW w:w="503" w:type="dxa"/>
            <w:tcBorders>
              <w:top w:val="nil"/>
              <w:left w:val="nil"/>
              <w:bottom w:val="nil"/>
              <w:right w:val="nil"/>
            </w:tcBorders>
          </w:tcPr>
          <w:p w:rsidR="00DF26C1" w:rsidRDefault="00DF26C1" w:rsidP="007B6DBD">
            <w:pPr>
              <w:pStyle w:val="TableParagraph"/>
              <w:kinsoku w:val="0"/>
              <w:overflowPunct w:val="0"/>
              <w:spacing w:before="22"/>
              <w:ind w:left="21"/>
            </w:pPr>
            <w:r>
              <w:rPr>
                <w:rFonts w:ascii="Arial" w:hAnsi="Arial" w:cs="Arial"/>
                <w:w w:val="105"/>
                <w:sz w:val="9"/>
                <w:szCs w:val="9"/>
              </w:rPr>
              <w:t>Ser.</w:t>
            </w:r>
            <w:r>
              <w:rPr>
                <w:rFonts w:ascii="Arial" w:hAnsi="Arial" w:cs="Arial"/>
                <w:spacing w:val="-2"/>
                <w:w w:val="105"/>
                <w:sz w:val="9"/>
                <w:szCs w:val="9"/>
              </w:rPr>
              <w:t xml:space="preserve"> </w:t>
            </w:r>
            <w:r>
              <w:rPr>
                <w:rFonts w:ascii="Arial" w:hAnsi="Arial" w:cs="Arial"/>
                <w:w w:val="105"/>
                <w:sz w:val="9"/>
                <w:szCs w:val="9"/>
              </w:rPr>
              <w:t>affinity</w:t>
            </w:r>
          </w:p>
        </w:tc>
        <w:tc>
          <w:tcPr>
            <w:tcW w:w="611" w:type="dxa"/>
            <w:tcBorders>
              <w:top w:val="nil"/>
              <w:left w:val="nil"/>
              <w:bottom w:val="nil"/>
              <w:right w:val="nil"/>
            </w:tcBorders>
          </w:tcPr>
          <w:p w:rsidR="00DF26C1" w:rsidRDefault="00DF26C1" w:rsidP="007B6DBD">
            <w:pPr>
              <w:pStyle w:val="TableParagraph"/>
              <w:kinsoku w:val="0"/>
              <w:overflowPunct w:val="0"/>
              <w:spacing w:before="22"/>
              <w:ind w:left="6"/>
            </w:pPr>
            <w:r>
              <w:rPr>
                <w:rFonts w:ascii="Arial" w:hAnsi="Arial" w:cs="Arial"/>
                <w:w w:val="105"/>
                <w:sz w:val="9"/>
                <w:szCs w:val="9"/>
              </w:rPr>
              <w:t>Sample</w:t>
            </w:r>
          </w:p>
        </w:tc>
        <w:tc>
          <w:tcPr>
            <w:tcW w:w="437" w:type="dxa"/>
            <w:tcBorders>
              <w:top w:val="nil"/>
              <w:left w:val="nil"/>
              <w:bottom w:val="nil"/>
              <w:right w:val="nil"/>
            </w:tcBorders>
          </w:tcPr>
          <w:p w:rsidR="00DF26C1" w:rsidRDefault="00DF26C1" w:rsidP="007B6DBD">
            <w:pPr>
              <w:pStyle w:val="TableParagraph"/>
              <w:kinsoku w:val="0"/>
              <w:overflowPunct w:val="0"/>
              <w:spacing w:before="22"/>
              <w:ind w:left="242"/>
            </w:pPr>
            <w:r>
              <w:rPr>
                <w:rFonts w:ascii="Arial" w:hAnsi="Arial" w:cs="Arial"/>
                <w:w w:val="105"/>
                <w:sz w:val="9"/>
                <w:szCs w:val="9"/>
              </w:rPr>
              <w:t>Age</w:t>
            </w:r>
          </w:p>
        </w:tc>
        <w:tc>
          <w:tcPr>
            <w:tcW w:w="320" w:type="dxa"/>
            <w:tcBorders>
              <w:top w:val="nil"/>
              <w:left w:val="nil"/>
              <w:bottom w:val="nil"/>
              <w:right w:val="nil"/>
            </w:tcBorders>
          </w:tcPr>
          <w:p w:rsidR="00DF26C1" w:rsidRDefault="00DF26C1" w:rsidP="007B6DBD">
            <w:pPr>
              <w:pStyle w:val="TableParagraph"/>
              <w:kinsoku w:val="0"/>
              <w:overflowPunct w:val="0"/>
              <w:spacing w:before="22"/>
              <w:ind w:left="50"/>
            </w:pPr>
            <w:r>
              <w:rPr>
                <w:rFonts w:ascii="Arial" w:hAnsi="Arial" w:cs="Arial"/>
                <w:w w:val="105"/>
                <w:sz w:val="9"/>
                <w:szCs w:val="9"/>
              </w:rPr>
              <w:t>Data</w:t>
            </w:r>
          </w:p>
        </w:tc>
        <w:tc>
          <w:tcPr>
            <w:tcW w:w="262" w:type="dxa"/>
            <w:tcBorders>
              <w:top w:val="nil"/>
              <w:left w:val="nil"/>
              <w:bottom w:val="nil"/>
              <w:right w:val="nil"/>
            </w:tcBorders>
          </w:tcPr>
          <w:p w:rsidR="00DF26C1" w:rsidRDefault="00DF26C1" w:rsidP="007B6DBD">
            <w:pPr>
              <w:pStyle w:val="TableParagraph"/>
              <w:kinsoku w:val="0"/>
              <w:overflowPunct w:val="0"/>
              <w:spacing w:before="22"/>
              <w:ind w:left="15"/>
            </w:pPr>
            <w:r>
              <w:rPr>
                <w:rFonts w:ascii="Arial" w:hAnsi="Arial" w:cs="Arial"/>
                <w:w w:val="105"/>
                <w:sz w:val="9"/>
                <w:szCs w:val="9"/>
              </w:rPr>
              <w:t>Wt.%</w:t>
            </w:r>
          </w:p>
        </w:tc>
        <w:tc>
          <w:tcPr>
            <w:tcW w:w="294" w:type="dxa"/>
            <w:tcBorders>
              <w:top w:val="nil"/>
              <w:left w:val="nil"/>
              <w:bottom w:val="nil"/>
              <w:right w:val="nil"/>
            </w:tcBorders>
          </w:tcPr>
          <w:p w:rsidR="00DF26C1" w:rsidRDefault="00DF26C1" w:rsidP="007B6DBD">
            <w:pPr>
              <w:pStyle w:val="TableParagraph"/>
              <w:kinsoku w:val="0"/>
              <w:overflowPunct w:val="0"/>
              <w:spacing w:before="22"/>
              <w:ind w:left="43"/>
            </w:pPr>
            <w:r>
              <w:rPr>
                <w:rFonts w:ascii="Arial" w:hAnsi="Arial" w:cs="Arial"/>
                <w:w w:val="105"/>
                <w:sz w:val="9"/>
                <w:szCs w:val="9"/>
              </w:rPr>
              <w:t>SiO2</w:t>
            </w:r>
          </w:p>
        </w:tc>
        <w:tc>
          <w:tcPr>
            <w:tcW w:w="293" w:type="dxa"/>
            <w:tcBorders>
              <w:top w:val="nil"/>
              <w:left w:val="nil"/>
              <w:bottom w:val="nil"/>
              <w:right w:val="nil"/>
            </w:tcBorders>
          </w:tcPr>
          <w:p w:rsidR="00DF26C1" w:rsidRDefault="00DF26C1" w:rsidP="007B6DBD">
            <w:pPr>
              <w:pStyle w:val="TableParagraph"/>
              <w:kinsoku w:val="0"/>
              <w:overflowPunct w:val="0"/>
              <w:spacing w:before="22"/>
              <w:ind w:left="52"/>
            </w:pPr>
            <w:r>
              <w:rPr>
                <w:rFonts w:ascii="Arial" w:hAnsi="Arial" w:cs="Arial"/>
                <w:w w:val="105"/>
                <w:sz w:val="9"/>
                <w:szCs w:val="9"/>
              </w:rPr>
              <w:t>TiO2</w:t>
            </w:r>
          </w:p>
        </w:tc>
        <w:tc>
          <w:tcPr>
            <w:tcW w:w="308" w:type="dxa"/>
            <w:tcBorders>
              <w:top w:val="nil"/>
              <w:left w:val="nil"/>
              <w:bottom w:val="nil"/>
              <w:right w:val="nil"/>
            </w:tcBorders>
          </w:tcPr>
          <w:p w:rsidR="00DF26C1" w:rsidRDefault="00DF26C1" w:rsidP="007B6DBD">
            <w:pPr>
              <w:pStyle w:val="TableParagraph"/>
              <w:kinsoku w:val="0"/>
              <w:overflowPunct w:val="0"/>
              <w:spacing w:before="22"/>
              <w:ind w:left="35"/>
            </w:pPr>
            <w:r>
              <w:rPr>
                <w:rFonts w:ascii="Arial" w:hAnsi="Arial" w:cs="Arial"/>
                <w:w w:val="105"/>
                <w:sz w:val="9"/>
                <w:szCs w:val="9"/>
              </w:rPr>
              <w:t>Al2O3</w:t>
            </w:r>
          </w:p>
        </w:tc>
        <w:tc>
          <w:tcPr>
            <w:tcW w:w="353" w:type="dxa"/>
            <w:tcBorders>
              <w:top w:val="nil"/>
              <w:left w:val="nil"/>
              <w:bottom w:val="nil"/>
              <w:right w:val="nil"/>
            </w:tcBorders>
          </w:tcPr>
          <w:p w:rsidR="00DF26C1" w:rsidRDefault="00DF26C1" w:rsidP="007B6DBD">
            <w:pPr>
              <w:pStyle w:val="TableParagraph"/>
              <w:kinsoku w:val="0"/>
              <w:overflowPunct w:val="0"/>
              <w:spacing w:before="22"/>
              <w:ind w:left="44"/>
            </w:pPr>
            <w:r>
              <w:rPr>
                <w:rFonts w:ascii="Arial" w:hAnsi="Arial" w:cs="Arial"/>
                <w:w w:val="105"/>
                <w:sz w:val="9"/>
                <w:szCs w:val="9"/>
              </w:rPr>
              <w:t>Fe2O3</w:t>
            </w:r>
          </w:p>
        </w:tc>
        <w:tc>
          <w:tcPr>
            <w:tcW w:w="234" w:type="dxa"/>
            <w:tcBorders>
              <w:top w:val="nil"/>
              <w:left w:val="nil"/>
              <w:bottom w:val="nil"/>
              <w:right w:val="nil"/>
            </w:tcBorders>
          </w:tcPr>
          <w:p w:rsidR="00DF26C1" w:rsidRDefault="00DF26C1" w:rsidP="007B6DBD">
            <w:pPr>
              <w:pStyle w:val="TableParagraph"/>
              <w:kinsoku w:val="0"/>
              <w:overflowPunct w:val="0"/>
              <w:spacing w:before="22"/>
              <w:ind w:left="27"/>
            </w:pPr>
            <w:r>
              <w:rPr>
                <w:rFonts w:ascii="Arial" w:hAnsi="Arial" w:cs="Arial"/>
                <w:w w:val="105"/>
                <w:sz w:val="9"/>
                <w:szCs w:val="9"/>
              </w:rPr>
              <w:t>FeO</w:t>
            </w:r>
          </w:p>
        </w:tc>
        <w:tc>
          <w:tcPr>
            <w:tcW w:w="224" w:type="dxa"/>
            <w:tcBorders>
              <w:top w:val="nil"/>
              <w:left w:val="nil"/>
              <w:bottom w:val="nil"/>
              <w:right w:val="nil"/>
            </w:tcBorders>
          </w:tcPr>
          <w:p w:rsidR="00DF26C1" w:rsidRDefault="00DF26C1" w:rsidP="007B6DBD">
            <w:pPr>
              <w:pStyle w:val="TableParagraph"/>
              <w:kinsoku w:val="0"/>
              <w:overflowPunct w:val="0"/>
              <w:spacing w:before="22"/>
              <w:ind w:left="21" w:right="-2"/>
            </w:pPr>
            <w:r>
              <w:rPr>
                <w:rFonts w:ascii="Arial" w:hAnsi="Arial" w:cs="Arial"/>
                <w:spacing w:val="-2"/>
                <w:w w:val="105"/>
                <w:sz w:val="9"/>
                <w:szCs w:val="9"/>
              </w:rPr>
              <w:t>MnO</w:t>
            </w:r>
          </w:p>
        </w:tc>
        <w:tc>
          <w:tcPr>
            <w:tcW w:w="269" w:type="dxa"/>
            <w:tcBorders>
              <w:top w:val="nil"/>
              <w:left w:val="nil"/>
              <w:bottom w:val="nil"/>
              <w:right w:val="nil"/>
            </w:tcBorders>
          </w:tcPr>
          <w:p w:rsidR="00DF26C1" w:rsidRDefault="00DF26C1" w:rsidP="007B6DBD">
            <w:pPr>
              <w:pStyle w:val="TableParagraph"/>
              <w:kinsoku w:val="0"/>
              <w:overflowPunct w:val="0"/>
              <w:spacing w:before="22"/>
              <w:ind w:left="45"/>
            </w:pPr>
            <w:r>
              <w:rPr>
                <w:rFonts w:ascii="Arial" w:hAnsi="Arial" w:cs="Arial"/>
                <w:w w:val="105"/>
                <w:sz w:val="9"/>
                <w:szCs w:val="9"/>
              </w:rPr>
              <w:t>MgO</w:t>
            </w:r>
          </w:p>
        </w:tc>
        <w:tc>
          <w:tcPr>
            <w:tcW w:w="261" w:type="dxa"/>
            <w:tcBorders>
              <w:top w:val="nil"/>
              <w:left w:val="nil"/>
              <w:bottom w:val="nil"/>
              <w:right w:val="nil"/>
            </w:tcBorders>
          </w:tcPr>
          <w:p w:rsidR="00DF26C1" w:rsidRDefault="00DF26C1" w:rsidP="007B6DBD">
            <w:pPr>
              <w:pStyle w:val="TableParagraph"/>
              <w:kinsoku w:val="0"/>
              <w:overflowPunct w:val="0"/>
              <w:spacing w:before="22"/>
              <w:ind w:left="39"/>
            </w:pPr>
            <w:r>
              <w:rPr>
                <w:rFonts w:ascii="Arial" w:hAnsi="Arial" w:cs="Arial"/>
                <w:w w:val="105"/>
                <w:sz w:val="9"/>
                <w:szCs w:val="9"/>
              </w:rPr>
              <w:t>CaO</w:t>
            </w:r>
          </w:p>
        </w:tc>
        <w:tc>
          <w:tcPr>
            <w:tcW w:w="278" w:type="dxa"/>
            <w:tcBorders>
              <w:top w:val="nil"/>
              <w:left w:val="nil"/>
              <w:bottom w:val="nil"/>
              <w:right w:val="nil"/>
            </w:tcBorders>
          </w:tcPr>
          <w:p w:rsidR="00DF26C1" w:rsidRDefault="00DF26C1" w:rsidP="007B6DBD">
            <w:pPr>
              <w:pStyle w:val="TableParagraph"/>
              <w:kinsoku w:val="0"/>
              <w:overflowPunct w:val="0"/>
              <w:spacing w:before="22"/>
              <w:ind w:left="18"/>
            </w:pPr>
            <w:r>
              <w:rPr>
                <w:rFonts w:ascii="Arial" w:hAnsi="Arial" w:cs="Arial"/>
                <w:w w:val="105"/>
                <w:sz w:val="9"/>
                <w:szCs w:val="9"/>
              </w:rPr>
              <w:t>Na2O</w:t>
            </w:r>
          </w:p>
        </w:tc>
        <w:tc>
          <w:tcPr>
            <w:tcW w:w="237" w:type="dxa"/>
            <w:tcBorders>
              <w:top w:val="nil"/>
              <w:left w:val="nil"/>
              <w:bottom w:val="nil"/>
              <w:right w:val="nil"/>
            </w:tcBorders>
          </w:tcPr>
          <w:p w:rsidR="00DF26C1" w:rsidRDefault="00DF26C1" w:rsidP="007B6DBD">
            <w:pPr>
              <w:pStyle w:val="TableParagraph"/>
              <w:kinsoku w:val="0"/>
              <w:overflowPunct w:val="0"/>
              <w:spacing w:before="22"/>
              <w:ind w:left="23"/>
            </w:pPr>
            <w:r>
              <w:rPr>
                <w:rFonts w:ascii="Arial" w:hAnsi="Arial" w:cs="Arial"/>
                <w:w w:val="105"/>
                <w:sz w:val="9"/>
                <w:szCs w:val="9"/>
              </w:rPr>
              <w:t>K2O</w:t>
            </w:r>
          </w:p>
        </w:tc>
        <w:tc>
          <w:tcPr>
            <w:tcW w:w="296" w:type="dxa"/>
            <w:tcBorders>
              <w:top w:val="nil"/>
              <w:left w:val="nil"/>
              <w:bottom w:val="nil"/>
              <w:right w:val="nil"/>
            </w:tcBorders>
          </w:tcPr>
          <w:p w:rsidR="00DF26C1" w:rsidRDefault="00DF26C1" w:rsidP="007B6DBD">
            <w:pPr>
              <w:pStyle w:val="TableParagraph"/>
              <w:kinsoku w:val="0"/>
              <w:overflowPunct w:val="0"/>
              <w:spacing w:before="22"/>
              <w:ind w:left="31"/>
            </w:pPr>
            <w:r>
              <w:rPr>
                <w:rFonts w:ascii="Arial" w:hAnsi="Arial" w:cs="Arial"/>
                <w:w w:val="105"/>
                <w:sz w:val="9"/>
                <w:szCs w:val="9"/>
              </w:rPr>
              <w:t>P2O5</w:t>
            </w:r>
          </w:p>
        </w:tc>
        <w:tc>
          <w:tcPr>
            <w:tcW w:w="274" w:type="dxa"/>
            <w:tcBorders>
              <w:top w:val="nil"/>
              <w:left w:val="nil"/>
              <w:bottom w:val="nil"/>
              <w:right w:val="nil"/>
            </w:tcBorders>
          </w:tcPr>
          <w:p w:rsidR="00DF26C1" w:rsidRDefault="00DF26C1" w:rsidP="007B6DBD">
            <w:pPr>
              <w:pStyle w:val="TableParagraph"/>
              <w:kinsoku w:val="0"/>
              <w:overflowPunct w:val="0"/>
              <w:spacing w:before="22"/>
              <w:ind w:left="66"/>
            </w:pPr>
            <w:r>
              <w:rPr>
                <w:rFonts w:ascii="Arial" w:hAnsi="Arial" w:cs="Arial"/>
                <w:w w:val="105"/>
                <w:sz w:val="9"/>
                <w:szCs w:val="9"/>
              </w:rPr>
              <w:t>LOI</w:t>
            </w:r>
          </w:p>
        </w:tc>
        <w:tc>
          <w:tcPr>
            <w:tcW w:w="350" w:type="dxa"/>
            <w:tcBorders>
              <w:top w:val="nil"/>
              <w:left w:val="nil"/>
              <w:bottom w:val="nil"/>
              <w:right w:val="nil"/>
            </w:tcBorders>
          </w:tcPr>
          <w:p w:rsidR="00DF26C1" w:rsidRDefault="00DF26C1" w:rsidP="007B6DBD">
            <w:pPr>
              <w:pStyle w:val="TableParagraph"/>
              <w:kinsoku w:val="0"/>
              <w:overflowPunct w:val="0"/>
              <w:spacing w:before="22"/>
              <w:ind w:left="83"/>
            </w:pPr>
            <w:r>
              <w:rPr>
                <w:rFonts w:ascii="Arial" w:hAnsi="Arial" w:cs="Arial"/>
                <w:w w:val="105"/>
                <w:sz w:val="9"/>
                <w:szCs w:val="9"/>
              </w:rPr>
              <w:t>Sum</w:t>
            </w:r>
          </w:p>
        </w:tc>
        <w:tc>
          <w:tcPr>
            <w:tcW w:w="259" w:type="dxa"/>
            <w:tcBorders>
              <w:top w:val="nil"/>
              <w:left w:val="nil"/>
              <w:bottom w:val="nil"/>
              <w:right w:val="nil"/>
            </w:tcBorders>
          </w:tcPr>
          <w:p w:rsidR="00DF26C1" w:rsidRDefault="00DF26C1" w:rsidP="007B6DBD">
            <w:pPr>
              <w:pStyle w:val="TableParagraph"/>
              <w:kinsoku w:val="0"/>
              <w:overflowPunct w:val="0"/>
              <w:spacing w:before="22"/>
              <w:ind w:left="28"/>
            </w:pPr>
            <w:r>
              <w:rPr>
                <w:rFonts w:ascii="Arial" w:hAnsi="Arial" w:cs="Arial"/>
                <w:w w:val="105"/>
                <w:sz w:val="9"/>
                <w:szCs w:val="9"/>
              </w:rPr>
              <w:t>ppm</w:t>
            </w:r>
          </w:p>
        </w:tc>
        <w:tc>
          <w:tcPr>
            <w:tcW w:w="270" w:type="dxa"/>
            <w:tcBorders>
              <w:top w:val="nil"/>
              <w:left w:val="nil"/>
              <w:bottom w:val="nil"/>
              <w:right w:val="nil"/>
            </w:tcBorders>
          </w:tcPr>
          <w:p w:rsidR="00DF26C1" w:rsidRDefault="00DF26C1" w:rsidP="007B6DBD">
            <w:pPr>
              <w:pStyle w:val="TableParagraph"/>
              <w:kinsoku w:val="0"/>
              <w:overflowPunct w:val="0"/>
              <w:spacing w:before="22"/>
              <w:ind w:left="76"/>
            </w:pPr>
            <w:r>
              <w:rPr>
                <w:rFonts w:ascii="Arial" w:hAnsi="Arial" w:cs="Arial"/>
                <w:w w:val="105"/>
                <w:sz w:val="9"/>
                <w:szCs w:val="9"/>
              </w:rPr>
              <w:t>Rb</w:t>
            </w:r>
          </w:p>
        </w:tc>
        <w:tc>
          <w:tcPr>
            <w:tcW w:w="253" w:type="dxa"/>
            <w:tcBorders>
              <w:top w:val="nil"/>
              <w:left w:val="nil"/>
              <w:bottom w:val="nil"/>
              <w:right w:val="nil"/>
            </w:tcBorders>
          </w:tcPr>
          <w:p w:rsidR="00DF26C1" w:rsidRDefault="00DF26C1" w:rsidP="007B6DBD">
            <w:pPr>
              <w:pStyle w:val="TableParagraph"/>
              <w:kinsoku w:val="0"/>
              <w:overflowPunct w:val="0"/>
              <w:spacing w:before="22"/>
              <w:ind w:left="94"/>
            </w:pPr>
            <w:r>
              <w:rPr>
                <w:rFonts w:ascii="Arial" w:hAnsi="Arial" w:cs="Arial"/>
                <w:w w:val="105"/>
                <w:sz w:val="9"/>
                <w:szCs w:val="9"/>
              </w:rPr>
              <w:t>Sr</w:t>
            </w:r>
          </w:p>
        </w:tc>
        <w:tc>
          <w:tcPr>
            <w:tcW w:w="245" w:type="dxa"/>
            <w:tcBorders>
              <w:top w:val="nil"/>
              <w:left w:val="nil"/>
              <w:bottom w:val="nil"/>
              <w:right w:val="nil"/>
            </w:tcBorders>
          </w:tcPr>
          <w:p w:rsidR="00DF26C1" w:rsidRDefault="00DF26C1" w:rsidP="007B6DBD">
            <w:pPr>
              <w:pStyle w:val="TableParagraph"/>
              <w:kinsoku w:val="0"/>
              <w:overflowPunct w:val="0"/>
              <w:spacing w:before="22"/>
              <w:ind w:left="100"/>
            </w:pPr>
            <w:r>
              <w:rPr>
                <w:rFonts w:ascii="Arial" w:hAnsi="Arial" w:cs="Arial"/>
                <w:w w:val="106"/>
                <w:sz w:val="9"/>
                <w:szCs w:val="9"/>
              </w:rPr>
              <w:t>Y</w:t>
            </w:r>
          </w:p>
        </w:tc>
        <w:tc>
          <w:tcPr>
            <w:tcW w:w="259" w:type="dxa"/>
            <w:tcBorders>
              <w:top w:val="nil"/>
              <w:left w:val="nil"/>
              <w:bottom w:val="nil"/>
              <w:right w:val="nil"/>
            </w:tcBorders>
          </w:tcPr>
          <w:p w:rsidR="00DF26C1" w:rsidRDefault="00DF26C1" w:rsidP="007B6DBD">
            <w:pPr>
              <w:pStyle w:val="TableParagraph"/>
              <w:kinsoku w:val="0"/>
              <w:overflowPunct w:val="0"/>
              <w:spacing w:before="22"/>
              <w:ind w:left="93"/>
            </w:pPr>
            <w:r>
              <w:rPr>
                <w:rFonts w:ascii="Arial" w:hAnsi="Arial" w:cs="Arial"/>
                <w:w w:val="105"/>
                <w:sz w:val="9"/>
                <w:szCs w:val="9"/>
              </w:rPr>
              <w:t>Zr</w:t>
            </w:r>
          </w:p>
        </w:tc>
        <w:tc>
          <w:tcPr>
            <w:tcW w:w="223" w:type="dxa"/>
            <w:tcBorders>
              <w:top w:val="nil"/>
              <w:left w:val="nil"/>
              <w:bottom w:val="nil"/>
              <w:right w:val="nil"/>
            </w:tcBorders>
          </w:tcPr>
          <w:p w:rsidR="00DF26C1" w:rsidRDefault="00DF26C1" w:rsidP="007B6DBD">
            <w:pPr>
              <w:pStyle w:val="TableParagraph"/>
              <w:kinsoku w:val="0"/>
              <w:overflowPunct w:val="0"/>
              <w:spacing w:before="22"/>
              <w:ind w:left="53"/>
            </w:pPr>
            <w:r>
              <w:rPr>
                <w:rFonts w:ascii="Arial" w:hAnsi="Arial" w:cs="Arial"/>
                <w:w w:val="105"/>
                <w:sz w:val="9"/>
                <w:szCs w:val="9"/>
              </w:rPr>
              <w:t>Nb</w:t>
            </w:r>
          </w:p>
        </w:tc>
        <w:tc>
          <w:tcPr>
            <w:tcW w:w="281" w:type="dxa"/>
            <w:tcBorders>
              <w:top w:val="nil"/>
              <w:left w:val="nil"/>
              <w:bottom w:val="nil"/>
              <w:right w:val="nil"/>
            </w:tcBorders>
          </w:tcPr>
          <w:p w:rsidR="00DF26C1" w:rsidRDefault="00DF26C1" w:rsidP="007B6DBD">
            <w:pPr>
              <w:pStyle w:val="TableParagraph"/>
              <w:kinsoku w:val="0"/>
              <w:overflowPunct w:val="0"/>
              <w:spacing w:before="22"/>
              <w:ind w:left="84"/>
            </w:pPr>
            <w:r>
              <w:rPr>
                <w:rFonts w:ascii="Arial" w:hAnsi="Arial" w:cs="Arial"/>
                <w:w w:val="105"/>
                <w:sz w:val="9"/>
                <w:szCs w:val="9"/>
              </w:rPr>
              <w:t>Ba</w:t>
            </w:r>
          </w:p>
        </w:tc>
        <w:tc>
          <w:tcPr>
            <w:tcW w:w="231" w:type="dxa"/>
            <w:tcBorders>
              <w:top w:val="nil"/>
              <w:left w:val="nil"/>
              <w:bottom w:val="nil"/>
              <w:right w:val="nil"/>
            </w:tcBorders>
          </w:tcPr>
          <w:p w:rsidR="00DF26C1" w:rsidRDefault="00DF26C1" w:rsidP="007B6DBD">
            <w:pPr>
              <w:pStyle w:val="TableParagraph"/>
              <w:kinsoku w:val="0"/>
              <w:overflowPunct w:val="0"/>
              <w:spacing w:before="22"/>
              <w:ind w:left="70"/>
            </w:pPr>
            <w:r>
              <w:rPr>
                <w:rFonts w:ascii="Arial" w:hAnsi="Arial" w:cs="Arial"/>
                <w:w w:val="105"/>
                <w:sz w:val="9"/>
                <w:szCs w:val="9"/>
              </w:rPr>
              <w:t>Th</w:t>
            </w:r>
          </w:p>
        </w:tc>
        <w:tc>
          <w:tcPr>
            <w:tcW w:w="255" w:type="dxa"/>
            <w:tcBorders>
              <w:top w:val="nil"/>
              <w:left w:val="nil"/>
              <w:bottom w:val="nil"/>
              <w:right w:val="nil"/>
            </w:tcBorders>
          </w:tcPr>
          <w:p w:rsidR="00DF26C1" w:rsidRDefault="00DF26C1" w:rsidP="007B6DBD">
            <w:pPr>
              <w:pStyle w:val="TableParagraph"/>
              <w:kinsoku w:val="0"/>
              <w:overflowPunct w:val="0"/>
              <w:spacing w:before="22"/>
              <w:ind w:left="73"/>
            </w:pPr>
            <w:r>
              <w:rPr>
                <w:rFonts w:ascii="Arial" w:hAnsi="Arial" w:cs="Arial"/>
                <w:w w:val="105"/>
                <w:sz w:val="9"/>
                <w:szCs w:val="9"/>
              </w:rPr>
              <w:t>La</w:t>
            </w:r>
          </w:p>
        </w:tc>
        <w:tc>
          <w:tcPr>
            <w:tcW w:w="302" w:type="dxa"/>
            <w:tcBorders>
              <w:top w:val="nil"/>
              <w:left w:val="nil"/>
              <w:bottom w:val="nil"/>
              <w:right w:val="nil"/>
            </w:tcBorders>
          </w:tcPr>
          <w:p w:rsidR="00DF26C1" w:rsidRDefault="00DF26C1" w:rsidP="007B6DBD">
            <w:pPr>
              <w:pStyle w:val="TableParagraph"/>
              <w:kinsoku w:val="0"/>
              <w:overflowPunct w:val="0"/>
              <w:spacing w:before="22"/>
              <w:ind w:left="90"/>
            </w:pPr>
            <w:r>
              <w:rPr>
                <w:rFonts w:ascii="Arial" w:hAnsi="Arial" w:cs="Arial"/>
                <w:w w:val="105"/>
                <w:sz w:val="9"/>
                <w:szCs w:val="9"/>
              </w:rPr>
              <w:t>Ce</w:t>
            </w:r>
          </w:p>
        </w:tc>
        <w:tc>
          <w:tcPr>
            <w:tcW w:w="259" w:type="dxa"/>
            <w:tcBorders>
              <w:top w:val="nil"/>
              <w:left w:val="nil"/>
              <w:bottom w:val="nil"/>
              <w:right w:val="nil"/>
            </w:tcBorders>
          </w:tcPr>
          <w:p w:rsidR="00DF26C1" w:rsidRDefault="00DF26C1" w:rsidP="007B6DBD">
            <w:pPr>
              <w:pStyle w:val="TableParagraph"/>
              <w:kinsoku w:val="0"/>
              <w:overflowPunct w:val="0"/>
              <w:spacing w:before="22"/>
              <w:ind w:left="76"/>
            </w:pPr>
            <w:r>
              <w:rPr>
                <w:rFonts w:ascii="Arial" w:hAnsi="Arial" w:cs="Arial"/>
                <w:w w:val="105"/>
                <w:sz w:val="9"/>
                <w:szCs w:val="9"/>
              </w:rPr>
              <w:t>Nd</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22"/>
              <w:ind w:left="81"/>
            </w:pPr>
            <w:r>
              <w:rPr>
                <w:rFonts w:ascii="Arial" w:hAnsi="Arial" w:cs="Arial"/>
                <w:w w:val="105"/>
                <w:sz w:val="9"/>
                <w:szCs w:val="9"/>
              </w:rPr>
              <w:t>Sm</w:t>
            </w:r>
          </w:p>
        </w:tc>
        <w:tc>
          <w:tcPr>
            <w:tcW w:w="250" w:type="dxa"/>
            <w:tcBorders>
              <w:top w:val="nil"/>
              <w:left w:val="nil"/>
              <w:bottom w:val="nil"/>
              <w:right w:val="nil"/>
            </w:tcBorders>
          </w:tcPr>
          <w:p w:rsidR="00DF26C1" w:rsidRDefault="00DF26C1" w:rsidP="007B6DBD">
            <w:pPr>
              <w:pStyle w:val="TableParagraph"/>
              <w:kinsoku w:val="0"/>
              <w:overflowPunct w:val="0"/>
              <w:spacing w:before="22"/>
              <w:ind w:left="76"/>
            </w:pPr>
            <w:r>
              <w:rPr>
                <w:rFonts w:ascii="Arial" w:hAnsi="Arial" w:cs="Arial"/>
                <w:w w:val="105"/>
                <w:sz w:val="9"/>
                <w:szCs w:val="9"/>
              </w:rPr>
              <w:t>Eu</w:t>
            </w:r>
          </w:p>
        </w:tc>
        <w:tc>
          <w:tcPr>
            <w:tcW w:w="248" w:type="dxa"/>
            <w:tcBorders>
              <w:top w:val="nil"/>
              <w:left w:val="nil"/>
              <w:bottom w:val="nil"/>
              <w:right w:val="nil"/>
            </w:tcBorders>
          </w:tcPr>
          <w:p w:rsidR="00DF26C1" w:rsidRDefault="00DF26C1" w:rsidP="007B6DBD">
            <w:pPr>
              <w:pStyle w:val="TableParagraph"/>
              <w:kinsoku w:val="0"/>
              <w:overflowPunct w:val="0"/>
              <w:spacing w:before="22"/>
              <w:ind w:left="69"/>
            </w:pPr>
            <w:r>
              <w:rPr>
                <w:rFonts w:ascii="Arial" w:hAnsi="Arial" w:cs="Arial"/>
                <w:w w:val="105"/>
                <w:sz w:val="9"/>
                <w:szCs w:val="9"/>
              </w:rPr>
              <w:t>Gd</w:t>
            </w:r>
          </w:p>
        </w:tc>
        <w:tc>
          <w:tcPr>
            <w:tcW w:w="232" w:type="dxa"/>
            <w:tcBorders>
              <w:top w:val="nil"/>
              <w:left w:val="nil"/>
              <w:bottom w:val="nil"/>
              <w:right w:val="nil"/>
            </w:tcBorders>
          </w:tcPr>
          <w:p w:rsidR="00DF26C1" w:rsidRDefault="00DF26C1" w:rsidP="007B6DBD">
            <w:pPr>
              <w:pStyle w:val="TableParagraph"/>
              <w:kinsoku w:val="0"/>
              <w:overflowPunct w:val="0"/>
              <w:spacing w:before="22"/>
              <w:ind w:left="67"/>
            </w:pPr>
            <w:r>
              <w:rPr>
                <w:rFonts w:ascii="Arial" w:hAnsi="Arial" w:cs="Arial"/>
                <w:w w:val="105"/>
                <w:sz w:val="9"/>
                <w:szCs w:val="9"/>
              </w:rPr>
              <w:t>Dy</w:t>
            </w:r>
          </w:p>
        </w:tc>
        <w:tc>
          <w:tcPr>
            <w:tcW w:w="264" w:type="dxa"/>
            <w:tcBorders>
              <w:top w:val="nil"/>
              <w:left w:val="nil"/>
              <w:bottom w:val="nil"/>
              <w:right w:val="nil"/>
            </w:tcBorders>
          </w:tcPr>
          <w:p w:rsidR="00DF26C1" w:rsidRDefault="00DF26C1" w:rsidP="007B6DBD">
            <w:pPr>
              <w:pStyle w:val="TableParagraph"/>
              <w:kinsoku w:val="0"/>
              <w:overflowPunct w:val="0"/>
              <w:spacing w:before="22"/>
              <w:ind w:left="83"/>
            </w:pPr>
            <w:r>
              <w:rPr>
                <w:rFonts w:ascii="Arial" w:hAnsi="Arial" w:cs="Arial"/>
                <w:w w:val="105"/>
                <w:sz w:val="9"/>
                <w:szCs w:val="9"/>
              </w:rPr>
              <w:t>Yb</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22"/>
              <w:ind w:left="83"/>
            </w:pPr>
            <w:r>
              <w:rPr>
                <w:rFonts w:ascii="Arial" w:hAnsi="Arial" w:cs="Arial"/>
                <w:w w:val="105"/>
                <w:sz w:val="9"/>
                <w:szCs w:val="9"/>
              </w:rPr>
              <w:t>Ni</w:t>
            </w:r>
          </w:p>
        </w:tc>
        <w:tc>
          <w:tcPr>
            <w:tcW w:w="225" w:type="dxa"/>
            <w:tcBorders>
              <w:top w:val="nil"/>
              <w:left w:val="nil"/>
              <w:bottom w:val="nil"/>
              <w:right w:val="nil"/>
            </w:tcBorders>
          </w:tcPr>
          <w:p w:rsidR="00DF26C1" w:rsidRDefault="00DF26C1" w:rsidP="007B6DBD">
            <w:pPr>
              <w:pStyle w:val="TableParagraph"/>
              <w:kinsoku w:val="0"/>
              <w:overflowPunct w:val="0"/>
              <w:spacing w:before="22"/>
              <w:ind w:left="76"/>
            </w:pPr>
            <w:r>
              <w:rPr>
                <w:rFonts w:ascii="Arial" w:hAnsi="Arial" w:cs="Arial"/>
                <w:w w:val="105"/>
                <w:sz w:val="9"/>
                <w:szCs w:val="9"/>
              </w:rPr>
              <w:t>Cr</w:t>
            </w:r>
          </w:p>
        </w:tc>
        <w:tc>
          <w:tcPr>
            <w:tcW w:w="625" w:type="dxa"/>
            <w:tcBorders>
              <w:top w:val="nil"/>
              <w:left w:val="nil"/>
              <w:bottom w:val="nil"/>
              <w:right w:val="nil"/>
            </w:tcBorders>
          </w:tcPr>
          <w:p w:rsidR="00DF26C1" w:rsidRDefault="00DF26C1" w:rsidP="007B6DBD">
            <w:pPr>
              <w:pStyle w:val="TableParagraph"/>
              <w:kinsoku w:val="0"/>
              <w:overflowPunct w:val="0"/>
              <w:spacing w:before="22"/>
              <w:ind w:left="25"/>
            </w:pPr>
            <w:r>
              <w:rPr>
                <w:rFonts w:ascii="Arial" w:hAnsi="Arial" w:cs="Arial"/>
                <w:w w:val="105"/>
                <w:sz w:val="9"/>
                <w:szCs w:val="9"/>
              </w:rPr>
              <w:t>(87Sr/86Sr)m</w:t>
            </w:r>
          </w:p>
        </w:tc>
        <w:tc>
          <w:tcPr>
            <w:tcW w:w="573" w:type="dxa"/>
            <w:tcBorders>
              <w:top w:val="nil"/>
              <w:left w:val="nil"/>
              <w:bottom w:val="nil"/>
              <w:right w:val="nil"/>
            </w:tcBorders>
          </w:tcPr>
          <w:p w:rsidR="00DF26C1" w:rsidRDefault="00DF26C1" w:rsidP="007B6DBD">
            <w:pPr>
              <w:pStyle w:val="TableParagraph"/>
              <w:kinsoku w:val="0"/>
              <w:overflowPunct w:val="0"/>
              <w:spacing w:before="22"/>
              <w:ind w:left="26"/>
            </w:pPr>
            <w:r>
              <w:rPr>
                <w:rFonts w:ascii="Arial" w:hAnsi="Arial" w:cs="Arial"/>
                <w:spacing w:val="-1"/>
                <w:w w:val="105"/>
                <w:sz w:val="9"/>
                <w:szCs w:val="9"/>
              </w:rPr>
              <w:t>(87Sr/86Sr)o</w:t>
            </w:r>
          </w:p>
        </w:tc>
        <w:tc>
          <w:tcPr>
            <w:tcW w:w="607" w:type="dxa"/>
            <w:tcBorders>
              <w:top w:val="nil"/>
              <w:left w:val="nil"/>
              <w:bottom w:val="nil"/>
              <w:right w:val="nil"/>
            </w:tcBorders>
          </w:tcPr>
          <w:p w:rsidR="00DF26C1" w:rsidRDefault="00DF26C1" w:rsidP="007B6DBD">
            <w:pPr>
              <w:pStyle w:val="TableParagraph"/>
              <w:kinsoku w:val="0"/>
              <w:overflowPunct w:val="0"/>
              <w:spacing w:before="22"/>
              <w:ind w:left="1"/>
            </w:pPr>
            <w:r>
              <w:rPr>
                <w:rFonts w:ascii="Arial" w:hAnsi="Arial" w:cs="Arial"/>
                <w:w w:val="105"/>
                <w:sz w:val="9"/>
                <w:szCs w:val="9"/>
              </w:rPr>
              <w:t>143Nd/144Nd</w:t>
            </w:r>
          </w:p>
        </w:tc>
        <w:tc>
          <w:tcPr>
            <w:tcW w:w="359" w:type="dxa"/>
            <w:tcBorders>
              <w:top w:val="nil"/>
              <w:left w:val="nil"/>
              <w:bottom w:val="nil"/>
              <w:right w:val="nil"/>
            </w:tcBorders>
          </w:tcPr>
          <w:p w:rsidR="00DF26C1" w:rsidRDefault="00DF26C1" w:rsidP="007B6DBD">
            <w:pPr>
              <w:pStyle w:val="TableParagraph"/>
              <w:kinsoku w:val="0"/>
              <w:overflowPunct w:val="0"/>
              <w:spacing w:before="22"/>
              <w:ind w:left="17"/>
            </w:pPr>
            <w:r>
              <w:rPr>
                <w:rFonts w:ascii="Arial" w:hAnsi="Arial" w:cs="Arial"/>
                <w:w w:val="105"/>
                <w:sz w:val="9"/>
                <w:szCs w:val="9"/>
              </w:rPr>
              <w:t>206Pb/</w:t>
            </w:r>
          </w:p>
        </w:tc>
        <w:tc>
          <w:tcPr>
            <w:tcW w:w="358" w:type="dxa"/>
            <w:tcBorders>
              <w:top w:val="nil"/>
              <w:left w:val="nil"/>
              <w:bottom w:val="nil"/>
              <w:right w:val="nil"/>
            </w:tcBorders>
          </w:tcPr>
          <w:p w:rsidR="00DF26C1" w:rsidRDefault="00DF26C1" w:rsidP="007B6DBD">
            <w:pPr>
              <w:pStyle w:val="TableParagraph"/>
              <w:kinsoku w:val="0"/>
              <w:overflowPunct w:val="0"/>
              <w:spacing w:before="22"/>
              <w:ind w:left="38"/>
            </w:pPr>
            <w:r>
              <w:rPr>
                <w:rFonts w:ascii="Arial" w:hAnsi="Arial" w:cs="Arial"/>
                <w:w w:val="105"/>
                <w:sz w:val="9"/>
                <w:szCs w:val="9"/>
              </w:rPr>
              <w:t>207Pb/</w:t>
            </w:r>
          </w:p>
        </w:tc>
        <w:tc>
          <w:tcPr>
            <w:tcW w:w="347" w:type="dxa"/>
            <w:tcBorders>
              <w:top w:val="nil"/>
              <w:left w:val="nil"/>
              <w:bottom w:val="nil"/>
              <w:right w:val="nil"/>
            </w:tcBorders>
          </w:tcPr>
          <w:p w:rsidR="00DF26C1" w:rsidRDefault="00DF26C1" w:rsidP="007B6DBD">
            <w:pPr>
              <w:pStyle w:val="TableParagraph"/>
              <w:kinsoku w:val="0"/>
              <w:overflowPunct w:val="0"/>
              <w:spacing w:before="22"/>
              <w:ind w:left="17"/>
            </w:pPr>
            <w:r>
              <w:rPr>
                <w:rFonts w:ascii="Arial" w:hAnsi="Arial" w:cs="Arial"/>
                <w:w w:val="105"/>
                <w:sz w:val="9"/>
                <w:szCs w:val="9"/>
              </w:rPr>
              <w:t>208Pb/</w:t>
            </w:r>
          </w:p>
        </w:tc>
      </w:tr>
      <w:tr w:rsidR="00DF26C1" w:rsidTr="007B6DBD">
        <w:trPr>
          <w:trHeight w:hRule="exact" w:val="158"/>
        </w:trPr>
        <w:tc>
          <w:tcPr>
            <w:tcW w:w="921" w:type="dxa"/>
            <w:tcBorders>
              <w:top w:val="nil"/>
              <w:left w:val="nil"/>
              <w:bottom w:val="nil"/>
              <w:right w:val="nil"/>
            </w:tcBorders>
          </w:tcPr>
          <w:p w:rsidR="00DF26C1" w:rsidRDefault="00DF26C1" w:rsidP="007B6DBD">
            <w:pPr>
              <w:pStyle w:val="TableParagraph"/>
              <w:kinsoku w:val="0"/>
              <w:overflowPunct w:val="0"/>
              <w:spacing w:before="40"/>
              <w:ind w:left="23"/>
            </w:pPr>
            <w:r>
              <w:rPr>
                <w:rFonts w:ascii="Arial" w:hAnsi="Arial" w:cs="Arial"/>
                <w:b/>
                <w:bCs/>
                <w:w w:val="105"/>
                <w:sz w:val="9"/>
                <w:szCs w:val="9"/>
              </w:rPr>
              <w:t>European</w:t>
            </w:r>
            <w:r>
              <w:rPr>
                <w:rFonts w:ascii="Arial" w:hAnsi="Arial" w:cs="Arial"/>
                <w:b/>
                <w:bCs/>
                <w:spacing w:val="-7"/>
                <w:w w:val="105"/>
                <w:sz w:val="9"/>
                <w:szCs w:val="9"/>
              </w:rPr>
              <w:t xml:space="preserve"> </w:t>
            </w:r>
            <w:r>
              <w:rPr>
                <w:rFonts w:ascii="Arial" w:hAnsi="Arial" w:cs="Arial"/>
                <w:b/>
                <w:bCs/>
                <w:w w:val="105"/>
                <w:sz w:val="9"/>
                <w:szCs w:val="9"/>
              </w:rPr>
              <w:t>plate</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spacing w:before="28"/>
              <w:ind w:left="23"/>
            </w:pPr>
            <w:r>
              <w:rPr>
                <w:rFonts w:ascii="Arial" w:hAnsi="Arial" w:cs="Arial"/>
                <w:w w:val="105"/>
                <w:sz w:val="9"/>
                <w:szCs w:val="9"/>
              </w:rPr>
              <w:t>source</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tc>
        <w:tc>
          <w:tcPr>
            <w:tcW w:w="293" w:type="dxa"/>
            <w:tcBorders>
              <w:top w:val="nil"/>
              <w:left w:val="nil"/>
              <w:bottom w:val="nil"/>
              <w:right w:val="nil"/>
            </w:tcBorders>
          </w:tcPr>
          <w:p w:rsidR="00DF26C1" w:rsidRDefault="00DF26C1" w:rsidP="007B6DBD"/>
        </w:tc>
        <w:tc>
          <w:tcPr>
            <w:tcW w:w="308" w:type="dxa"/>
            <w:tcBorders>
              <w:top w:val="nil"/>
              <w:left w:val="nil"/>
              <w:bottom w:val="nil"/>
              <w:right w:val="nil"/>
            </w:tcBorders>
          </w:tcPr>
          <w:p w:rsidR="00DF26C1" w:rsidRDefault="00DF26C1" w:rsidP="007B6DBD"/>
        </w:tc>
        <w:tc>
          <w:tcPr>
            <w:tcW w:w="353" w:type="dxa"/>
            <w:tcBorders>
              <w:top w:val="nil"/>
              <w:left w:val="nil"/>
              <w:bottom w:val="nil"/>
              <w:right w:val="nil"/>
            </w:tcBorders>
          </w:tcPr>
          <w:p w:rsidR="00DF26C1" w:rsidRDefault="00DF26C1" w:rsidP="007B6DBD"/>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tc>
        <w:tc>
          <w:tcPr>
            <w:tcW w:w="269" w:type="dxa"/>
            <w:tcBorders>
              <w:top w:val="nil"/>
              <w:left w:val="nil"/>
              <w:bottom w:val="nil"/>
              <w:right w:val="nil"/>
            </w:tcBorders>
          </w:tcPr>
          <w:p w:rsidR="00DF26C1" w:rsidRDefault="00DF26C1" w:rsidP="007B6DBD"/>
        </w:tc>
        <w:tc>
          <w:tcPr>
            <w:tcW w:w="261" w:type="dxa"/>
            <w:tcBorders>
              <w:top w:val="nil"/>
              <w:left w:val="nil"/>
              <w:bottom w:val="nil"/>
              <w:right w:val="nil"/>
            </w:tcBorders>
          </w:tcPr>
          <w:p w:rsidR="00DF26C1" w:rsidRDefault="00DF26C1" w:rsidP="007B6DBD"/>
        </w:tc>
        <w:tc>
          <w:tcPr>
            <w:tcW w:w="278" w:type="dxa"/>
            <w:tcBorders>
              <w:top w:val="nil"/>
              <w:left w:val="nil"/>
              <w:bottom w:val="nil"/>
              <w:right w:val="nil"/>
            </w:tcBorders>
          </w:tcPr>
          <w:p w:rsidR="00DF26C1" w:rsidRDefault="00DF26C1" w:rsidP="007B6DBD"/>
        </w:tc>
        <w:tc>
          <w:tcPr>
            <w:tcW w:w="237" w:type="dxa"/>
            <w:tcBorders>
              <w:top w:val="nil"/>
              <w:left w:val="nil"/>
              <w:bottom w:val="nil"/>
              <w:right w:val="nil"/>
            </w:tcBorders>
          </w:tcPr>
          <w:p w:rsidR="00DF26C1" w:rsidRDefault="00DF26C1" w:rsidP="007B6DBD"/>
        </w:tc>
        <w:tc>
          <w:tcPr>
            <w:tcW w:w="296" w:type="dxa"/>
            <w:tcBorders>
              <w:top w:val="nil"/>
              <w:left w:val="nil"/>
              <w:bottom w:val="nil"/>
              <w:right w:val="nil"/>
            </w:tcBorders>
          </w:tcPr>
          <w:p w:rsidR="00DF26C1" w:rsidRDefault="00DF26C1" w:rsidP="007B6DBD"/>
        </w:tc>
        <w:tc>
          <w:tcPr>
            <w:tcW w:w="274" w:type="dxa"/>
            <w:tcBorders>
              <w:top w:val="nil"/>
              <w:left w:val="nil"/>
              <w:bottom w:val="nil"/>
              <w:right w:val="nil"/>
            </w:tcBorders>
          </w:tcPr>
          <w:p w:rsidR="00DF26C1" w:rsidRDefault="00DF26C1" w:rsidP="007B6DBD"/>
        </w:tc>
        <w:tc>
          <w:tcPr>
            <w:tcW w:w="350"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tc>
        <w:tc>
          <w:tcPr>
            <w:tcW w:w="253" w:type="dxa"/>
            <w:tcBorders>
              <w:top w:val="nil"/>
              <w:left w:val="nil"/>
              <w:bottom w:val="nil"/>
              <w:right w:val="nil"/>
            </w:tcBorders>
          </w:tcPr>
          <w:p w:rsidR="00DF26C1" w:rsidRDefault="00DF26C1" w:rsidP="007B6DBD"/>
        </w:tc>
        <w:tc>
          <w:tcPr>
            <w:tcW w:w="245"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pPr>
              <w:pStyle w:val="TableParagraph"/>
              <w:kinsoku w:val="0"/>
              <w:overflowPunct w:val="0"/>
              <w:spacing w:before="40"/>
              <w:ind w:left="17"/>
            </w:pPr>
            <w:r>
              <w:rPr>
                <w:rFonts w:ascii="Arial" w:hAnsi="Arial" w:cs="Arial"/>
                <w:w w:val="105"/>
                <w:sz w:val="9"/>
                <w:szCs w:val="9"/>
              </w:rPr>
              <w:t>/204Pb</w:t>
            </w:r>
          </w:p>
        </w:tc>
        <w:tc>
          <w:tcPr>
            <w:tcW w:w="358" w:type="dxa"/>
            <w:tcBorders>
              <w:top w:val="nil"/>
              <w:left w:val="nil"/>
              <w:bottom w:val="nil"/>
              <w:right w:val="nil"/>
            </w:tcBorders>
          </w:tcPr>
          <w:p w:rsidR="00DF26C1" w:rsidRDefault="00DF26C1" w:rsidP="007B6DBD">
            <w:pPr>
              <w:pStyle w:val="TableParagraph"/>
              <w:kinsoku w:val="0"/>
              <w:overflowPunct w:val="0"/>
              <w:spacing w:before="28"/>
              <w:ind w:left="38"/>
            </w:pPr>
            <w:r>
              <w:rPr>
                <w:rFonts w:ascii="Arial" w:hAnsi="Arial" w:cs="Arial"/>
                <w:w w:val="105"/>
                <w:sz w:val="9"/>
                <w:szCs w:val="9"/>
              </w:rPr>
              <w:t>/204Pb</w:t>
            </w:r>
          </w:p>
        </w:tc>
        <w:tc>
          <w:tcPr>
            <w:tcW w:w="347" w:type="dxa"/>
            <w:tcBorders>
              <w:top w:val="nil"/>
              <w:left w:val="nil"/>
              <w:bottom w:val="nil"/>
              <w:right w:val="nil"/>
            </w:tcBorders>
          </w:tcPr>
          <w:p w:rsidR="00DF26C1" w:rsidRDefault="00DF26C1" w:rsidP="007B6DBD">
            <w:pPr>
              <w:pStyle w:val="TableParagraph"/>
              <w:kinsoku w:val="0"/>
              <w:overflowPunct w:val="0"/>
              <w:spacing w:before="28"/>
              <w:ind w:left="17"/>
            </w:pPr>
            <w:r>
              <w:rPr>
                <w:rFonts w:ascii="Arial" w:hAnsi="Arial" w:cs="Arial"/>
                <w:w w:val="105"/>
                <w:sz w:val="9"/>
                <w:szCs w:val="9"/>
              </w:rPr>
              <w:t>/204Pb</w:t>
            </w:r>
          </w:p>
        </w:tc>
      </w:tr>
      <w:tr w:rsidR="00DF26C1" w:rsidTr="007B6DBD">
        <w:trPr>
          <w:trHeight w:hRule="exact" w:val="132"/>
        </w:trPr>
        <w:tc>
          <w:tcPr>
            <w:tcW w:w="921" w:type="dxa"/>
            <w:tcBorders>
              <w:top w:val="nil"/>
              <w:left w:val="nil"/>
              <w:bottom w:val="nil"/>
              <w:right w:val="nil"/>
            </w:tcBorders>
          </w:tcPr>
          <w:p w:rsidR="00DF26C1" w:rsidRDefault="00DF26C1" w:rsidP="007B6DBD">
            <w:pPr>
              <w:pStyle w:val="TableParagraph"/>
              <w:kinsoku w:val="0"/>
              <w:overflowPunct w:val="0"/>
              <w:spacing w:before="9"/>
              <w:ind w:left="23"/>
            </w:pPr>
            <w:r>
              <w:rPr>
                <w:rFonts w:ascii="Arial" w:hAnsi="Arial" w:cs="Arial"/>
                <w:spacing w:val="-2"/>
                <w:w w:val="105"/>
                <w:sz w:val="9"/>
                <w:szCs w:val="9"/>
                <w:u w:val="single"/>
              </w:rPr>
              <w:t>Valencia</w:t>
            </w:r>
            <w:r>
              <w:rPr>
                <w:rFonts w:ascii="Arial" w:hAnsi="Arial" w:cs="Arial"/>
                <w:spacing w:val="15"/>
                <w:w w:val="105"/>
                <w:sz w:val="9"/>
                <w:szCs w:val="9"/>
                <w:u w:val="single"/>
              </w:rPr>
              <w:t xml:space="preserve"> </w:t>
            </w:r>
            <w:r>
              <w:rPr>
                <w:rFonts w:ascii="Arial" w:hAnsi="Arial" w:cs="Arial"/>
                <w:spacing w:val="-2"/>
                <w:w w:val="105"/>
                <w:sz w:val="9"/>
                <w:szCs w:val="9"/>
                <w:u w:val="single"/>
              </w:rPr>
              <w:t>basin</w:t>
            </w:r>
          </w:p>
        </w:tc>
        <w:tc>
          <w:tcPr>
            <w:tcW w:w="503" w:type="dxa"/>
            <w:tcBorders>
              <w:top w:val="nil"/>
              <w:left w:val="nil"/>
              <w:bottom w:val="nil"/>
              <w:right w:val="nil"/>
            </w:tcBorders>
          </w:tcPr>
          <w:p w:rsidR="00DF26C1" w:rsidRDefault="00DF26C1" w:rsidP="007B6DBD">
            <w:pPr>
              <w:pStyle w:val="TableParagraph"/>
              <w:kinsoku w:val="0"/>
              <w:overflowPunct w:val="0"/>
              <w:spacing w:before="9"/>
              <w:ind w:left="18"/>
              <w:jc w:val="center"/>
            </w:pPr>
            <w:r>
              <w:rPr>
                <w:rFonts w:ascii="Arial" w:hAnsi="Arial" w:cs="Arial"/>
                <w:w w:val="106"/>
                <w:sz w:val="9"/>
                <w:szCs w:val="9"/>
              </w:rPr>
              <w:t>1</w:t>
            </w:r>
          </w:p>
        </w:tc>
        <w:tc>
          <w:tcPr>
            <w:tcW w:w="624" w:type="dxa"/>
            <w:tcBorders>
              <w:top w:val="nil"/>
              <w:left w:val="nil"/>
              <w:bottom w:val="nil"/>
              <w:right w:val="nil"/>
            </w:tcBorders>
          </w:tcPr>
          <w:p w:rsidR="00DF26C1" w:rsidRDefault="00DF26C1" w:rsidP="007B6DBD">
            <w:pPr>
              <w:pStyle w:val="TableParagraph"/>
              <w:kinsoku w:val="0"/>
              <w:overflowPunct w:val="0"/>
              <w:spacing w:before="9"/>
              <w:ind w:left="16"/>
            </w:pPr>
            <w:r>
              <w:rPr>
                <w:rFonts w:ascii="Arial" w:hAnsi="Arial" w:cs="Arial"/>
                <w:w w:val="105"/>
                <w:sz w:val="9"/>
                <w:szCs w:val="9"/>
              </w:rPr>
              <w:t>dacite</w:t>
            </w:r>
          </w:p>
        </w:tc>
        <w:tc>
          <w:tcPr>
            <w:tcW w:w="559" w:type="dxa"/>
            <w:tcBorders>
              <w:top w:val="nil"/>
              <w:left w:val="nil"/>
              <w:bottom w:val="nil"/>
              <w:right w:val="nil"/>
            </w:tcBorders>
          </w:tcPr>
          <w:p w:rsidR="00DF26C1" w:rsidRDefault="00DF26C1" w:rsidP="007B6DBD">
            <w:pPr>
              <w:pStyle w:val="TableParagraph"/>
              <w:kinsoku w:val="0"/>
              <w:overflowPunct w:val="0"/>
              <w:spacing w:before="9"/>
              <w:ind w:left="66"/>
            </w:pPr>
            <w:r>
              <w:rPr>
                <w:rFonts w:ascii="Arial" w:hAnsi="Arial" w:cs="Arial"/>
                <w:w w:val="105"/>
                <w:sz w:val="9"/>
                <w:szCs w:val="9"/>
              </w:rPr>
              <w:t>pyroclastic</w:t>
            </w:r>
          </w:p>
        </w:tc>
        <w:tc>
          <w:tcPr>
            <w:tcW w:w="503" w:type="dxa"/>
            <w:tcBorders>
              <w:top w:val="nil"/>
              <w:left w:val="nil"/>
              <w:bottom w:val="nil"/>
              <w:right w:val="nil"/>
            </w:tcBorders>
          </w:tcPr>
          <w:p w:rsidR="00DF26C1" w:rsidRDefault="00DF26C1" w:rsidP="007B6DBD">
            <w:pPr>
              <w:pStyle w:val="TableParagraph"/>
              <w:kinsoku w:val="0"/>
              <w:overflowPunct w:val="0"/>
              <w:spacing w:before="9"/>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9"/>
              <w:ind w:left="6"/>
            </w:pPr>
            <w:r>
              <w:rPr>
                <w:rFonts w:ascii="Arial" w:hAnsi="Arial" w:cs="Arial"/>
                <w:w w:val="105"/>
                <w:sz w:val="9"/>
                <w:szCs w:val="9"/>
              </w:rPr>
              <w:t>DSDP/</w:t>
            </w:r>
          </w:p>
        </w:tc>
        <w:tc>
          <w:tcPr>
            <w:tcW w:w="437" w:type="dxa"/>
            <w:tcBorders>
              <w:top w:val="nil"/>
              <w:left w:val="nil"/>
              <w:bottom w:val="nil"/>
              <w:right w:val="nil"/>
            </w:tcBorders>
          </w:tcPr>
          <w:p w:rsidR="00DF26C1" w:rsidRDefault="00DF26C1" w:rsidP="007B6DBD">
            <w:pPr>
              <w:pStyle w:val="TableParagraph"/>
              <w:kinsoku w:val="0"/>
              <w:overflowPunct w:val="0"/>
              <w:spacing w:before="9"/>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spacing w:before="9"/>
              <w:ind w:left="10"/>
              <w:jc w:val="center"/>
            </w:pPr>
            <w:r>
              <w:rPr>
                <w:rFonts w:ascii="Arial" w:hAnsi="Arial" w:cs="Arial"/>
                <w:w w:val="106"/>
                <w:sz w:val="9"/>
                <w:szCs w:val="9"/>
              </w:rPr>
              <w:t>1</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9"/>
              <w:ind w:left="31"/>
            </w:pPr>
            <w:r>
              <w:rPr>
                <w:rFonts w:ascii="Arial" w:hAnsi="Arial" w:cs="Arial"/>
                <w:w w:val="105"/>
                <w:sz w:val="9"/>
                <w:szCs w:val="9"/>
              </w:rPr>
              <w:t>68,17</w:t>
            </w:r>
          </w:p>
        </w:tc>
        <w:tc>
          <w:tcPr>
            <w:tcW w:w="293" w:type="dxa"/>
            <w:tcBorders>
              <w:top w:val="nil"/>
              <w:left w:val="nil"/>
              <w:bottom w:val="nil"/>
              <w:right w:val="nil"/>
            </w:tcBorders>
          </w:tcPr>
          <w:p w:rsidR="00DF26C1" w:rsidRDefault="00DF26C1" w:rsidP="007B6DBD">
            <w:pPr>
              <w:pStyle w:val="TableParagraph"/>
              <w:kinsoku w:val="0"/>
              <w:overflowPunct w:val="0"/>
              <w:spacing w:before="9"/>
              <w:ind w:left="83"/>
            </w:pPr>
            <w:r>
              <w:rPr>
                <w:rFonts w:ascii="Arial" w:hAnsi="Arial" w:cs="Arial"/>
                <w:w w:val="105"/>
                <w:sz w:val="9"/>
                <w:szCs w:val="9"/>
              </w:rPr>
              <w:t>0,23</w:t>
            </w:r>
          </w:p>
        </w:tc>
        <w:tc>
          <w:tcPr>
            <w:tcW w:w="308" w:type="dxa"/>
            <w:tcBorders>
              <w:top w:val="nil"/>
              <w:left w:val="nil"/>
              <w:bottom w:val="nil"/>
              <w:right w:val="nil"/>
            </w:tcBorders>
          </w:tcPr>
          <w:p w:rsidR="00DF26C1" w:rsidRDefault="00DF26C1" w:rsidP="007B6DBD">
            <w:pPr>
              <w:pStyle w:val="TableParagraph"/>
              <w:kinsoku w:val="0"/>
              <w:overflowPunct w:val="0"/>
              <w:spacing w:before="9"/>
              <w:ind w:left="57"/>
            </w:pPr>
            <w:r>
              <w:rPr>
                <w:rFonts w:ascii="Arial" w:hAnsi="Arial" w:cs="Arial"/>
                <w:w w:val="105"/>
                <w:sz w:val="9"/>
                <w:szCs w:val="9"/>
              </w:rPr>
              <w:t>12,75</w:t>
            </w:r>
          </w:p>
        </w:tc>
        <w:tc>
          <w:tcPr>
            <w:tcW w:w="353" w:type="dxa"/>
            <w:tcBorders>
              <w:top w:val="nil"/>
              <w:left w:val="nil"/>
              <w:bottom w:val="nil"/>
              <w:right w:val="nil"/>
            </w:tcBorders>
          </w:tcPr>
          <w:p w:rsidR="00DF26C1" w:rsidRDefault="00DF26C1" w:rsidP="007B6DBD">
            <w:pPr>
              <w:pStyle w:val="TableParagraph"/>
              <w:kinsoku w:val="0"/>
              <w:overflowPunct w:val="0"/>
              <w:spacing w:before="9"/>
              <w:ind w:left="140"/>
            </w:pPr>
            <w:r>
              <w:rPr>
                <w:rFonts w:ascii="Arial" w:hAnsi="Arial" w:cs="Arial"/>
                <w:w w:val="105"/>
                <w:sz w:val="9"/>
                <w:szCs w:val="9"/>
              </w:rPr>
              <w:t>2,75</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9"/>
              <w:ind w:left="28"/>
            </w:pPr>
            <w:r>
              <w:rPr>
                <w:rFonts w:ascii="Arial" w:hAnsi="Arial" w:cs="Arial"/>
                <w:w w:val="105"/>
                <w:sz w:val="9"/>
                <w:szCs w:val="9"/>
              </w:rPr>
              <w:t>0,02</w:t>
            </w:r>
          </w:p>
        </w:tc>
        <w:tc>
          <w:tcPr>
            <w:tcW w:w="269" w:type="dxa"/>
            <w:tcBorders>
              <w:top w:val="nil"/>
              <w:left w:val="nil"/>
              <w:bottom w:val="nil"/>
              <w:right w:val="nil"/>
            </w:tcBorders>
          </w:tcPr>
          <w:p w:rsidR="00DF26C1" w:rsidRDefault="00DF26C1" w:rsidP="007B6DBD">
            <w:pPr>
              <w:pStyle w:val="TableParagraph"/>
              <w:kinsoku w:val="0"/>
              <w:overflowPunct w:val="0"/>
              <w:spacing w:before="9"/>
              <w:ind w:left="54"/>
            </w:pPr>
            <w:r>
              <w:rPr>
                <w:rFonts w:ascii="Arial" w:hAnsi="Arial" w:cs="Arial"/>
                <w:w w:val="105"/>
                <w:sz w:val="9"/>
                <w:szCs w:val="9"/>
              </w:rPr>
              <w:t>2,02</w:t>
            </w:r>
          </w:p>
        </w:tc>
        <w:tc>
          <w:tcPr>
            <w:tcW w:w="261" w:type="dxa"/>
            <w:tcBorders>
              <w:top w:val="nil"/>
              <w:left w:val="nil"/>
              <w:bottom w:val="nil"/>
              <w:right w:val="nil"/>
            </w:tcBorders>
          </w:tcPr>
          <w:p w:rsidR="00DF26C1" w:rsidRDefault="00DF26C1" w:rsidP="007B6DBD">
            <w:pPr>
              <w:pStyle w:val="TableParagraph"/>
              <w:kinsoku w:val="0"/>
              <w:overflowPunct w:val="0"/>
              <w:spacing w:before="9"/>
              <w:ind w:left="56"/>
            </w:pPr>
            <w:r>
              <w:rPr>
                <w:rFonts w:ascii="Arial" w:hAnsi="Arial" w:cs="Arial"/>
                <w:w w:val="105"/>
                <w:sz w:val="9"/>
                <w:szCs w:val="9"/>
              </w:rPr>
              <w:t>0,73</w:t>
            </w:r>
          </w:p>
        </w:tc>
        <w:tc>
          <w:tcPr>
            <w:tcW w:w="278" w:type="dxa"/>
            <w:tcBorders>
              <w:top w:val="nil"/>
              <w:left w:val="nil"/>
              <w:bottom w:val="nil"/>
              <w:right w:val="nil"/>
            </w:tcBorders>
          </w:tcPr>
          <w:p w:rsidR="00DF26C1" w:rsidRDefault="00DF26C1" w:rsidP="007B6DBD">
            <w:pPr>
              <w:pStyle w:val="TableParagraph"/>
              <w:kinsoku w:val="0"/>
              <w:overflowPunct w:val="0"/>
              <w:spacing w:before="9"/>
              <w:ind w:left="54"/>
            </w:pPr>
            <w:r>
              <w:rPr>
                <w:rFonts w:ascii="Arial" w:hAnsi="Arial" w:cs="Arial"/>
                <w:w w:val="105"/>
                <w:sz w:val="9"/>
                <w:szCs w:val="9"/>
              </w:rPr>
              <w:t>2,40</w:t>
            </w:r>
          </w:p>
        </w:tc>
        <w:tc>
          <w:tcPr>
            <w:tcW w:w="237" w:type="dxa"/>
            <w:tcBorders>
              <w:top w:val="nil"/>
              <w:left w:val="nil"/>
              <w:bottom w:val="nil"/>
              <w:right w:val="nil"/>
            </w:tcBorders>
          </w:tcPr>
          <w:p w:rsidR="00DF26C1" w:rsidRDefault="00DF26C1" w:rsidP="007B6DBD">
            <w:pPr>
              <w:pStyle w:val="TableParagraph"/>
              <w:kinsoku w:val="0"/>
              <w:overflowPunct w:val="0"/>
              <w:spacing w:before="9"/>
              <w:ind w:left="26"/>
            </w:pPr>
            <w:r>
              <w:rPr>
                <w:rFonts w:ascii="Arial" w:hAnsi="Arial" w:cs="Arial"/>
                <w:w w:val="105"/>
                <w:sz w:val="9"/>
                <w:szCs w:val="9"/>
              </w:rPr>
              <w:t>3,22</w:t>
            </w:r>
          </w:p>
        </w:tc>
        <w:tc>
          <w:tcPr>
            <w:tcW w:w="296" w:type="dxa"/>
            <w:tcBorders>
              <w:top w:val="nil"/>
              <w:left w:val="nil"/>
              <w:bottom w:val="nil"/>
              <w:right w:val="nil"/>
            </w:tcBorders>
          </w:tcPr>
          <w:p w:rsidR="00DF26C1" w:rsidRDefault="00DF26C1" w:rsidP="007B6DBD"/>
        </w:tc>
        <w:tc>
          <w:tcPr>
            <w:tcW w:w="274" w:type="dxa"/>
            <w:tcBorders>
              <w:top w:val="nil"/>
              <w:left w:val="nil"/>
              <w:bottom w:val="nil"/>
              <w:right w:val="nil"/>
            </w:tcBorders>
          </w:tcPr>
          <w:p w:rsidR="00DF26C1" w:rsidRDefault="00DF26C1" w:rsidP="007B6DBD">
            <w:pPr>
              <w:pStyle w:val="TableParagraph"/>
              <w:kinsoku w:val="0"/>
              <w:overflowPunct w:val="0"/>
              <w:spacing w:before="9"/>
              <w:ind w:left="64"/>
            </w:pPr>
            <w:r>
              <w:rPr>
                <w:rFonts w:ascii="Arial" w:hAnsi="Arial" w:cs="Arial"/>
                <w:w w:val="105"/>
                <w:sz w:val="9"/>
                <w:szCs w:val="9"/>
              </w:rPr>
              <w:t>8,37</w:t>
            </w:r>
          </w:p>
        </w:tc>
        <w:tc>
          <w:tcPr>
            <w:tcW w:w="350" w:type="dxa"/>
            <w:tcBorders>
              <w:top w:val="nil"/>
              <w:left w:val="nil"/>
              <w:bottom w:val="nil"/>
              <w:right w:val="nil"/>
            </w:tcBorders>
          </w:tcPr>
          <w:p w:rsidR="00DF26C1" w:rsidRDefault="00DF26C1" w:rsidP="007B6DBD">
            <w:pPr>
              <w:pStyle w:val="TableParagraph"/>
              <w:kinsoku w:val="0"/>
              <w:overflowPunct w:val="0"/>
              <w:spacing w:before="9"/>
              <w:ind w:left="30"/>
            </w:pPr>
            <w:r>
              <w:rPr>
                <w:rFonts w:ascii="Arial" w:hAnsi="Arial" w:cs="Arial"/>
                <w:w w:val="105"/>
                <w:sz w:val="9"/>
                <w:szCs w:val="9"/>
              </w:rPr>
              <w:t>100,66</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tc>
        <w:tc>
          <w:tcPr>
            <w:tcW w:w="253" w:type="dxa"/>
            <w:tcBorders>
              <w:top w:val="nil"/>
              <w:left w:val="nil"/>
              <w:bottom w:val="nil"/>
              <w:right w:val="nil"/>
            </w:tcBorders>
          </w:tcPr>
          <w:p w:rsidR="00DF26C1" w:rsidRDefault="00DF26C1" w:rsidP="007B6DBD"/>
        </w:tc>
        <w:tc>
          <w:tcPr>
            <w:tcW w:w="245"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9"/>
              <w:ind w:left="28"/>
            </w:pPr>
            <w:r>
              <w:rPr>
                <w:rFonts w:ascii="Arial" w:hAnsi="Arial" w:cs="Arial"/>
                <w:w w:val="105"/>
                <w:sz w:val="9"/>
                <w:szCs w:val="9"/>
              </w:rPr>
              <w:t>73,9</w:t>
            </w:r>
          </w:p>
        </w:tc>
        <w:tc>
          <w:tcPr>
            <w:tcW w:w="302" w:type="dxa"/>
            <w:tcBorders>
              <w:top w:val="nil"/>
              <w:left w:val="nil"/>
              <w:bottom w:val="nil"/>
              <w:right w:val="nil"/>
            </w:tcBorders>
          </w:tcPr>
          <w:p w:rsidR="00DF26C1" w:rsidRDefault="00DF26C1" w:rsidP="007B6DBD">
            <w:pPr>
              <w:pStyle w:val="TableParagraph"/>
              <w:kinsoku w:val="0"/>
              <w:overflowPunct w:val="0"/>
              <w:spacing w:before="9"/>
              <w:ind w:left="119"/>
            </w:pPr>
            <w:r>
              <w:rPr>
                <w:rFonts w:ascii="Arial" w:hAnsi="Arial" w:cs="Arial"/>
                <w:w w:val="105"/>
                <w:sz w:val="9"/>
                <w:szCs w:val="9"/>
              </w:rPr>
              <w:t>148</w:t>
            </w:r>
          </w:p>
        </w:tc>
        <w:tc>
          <w:tcPr>
            <w:tcW w:w="259" w:type="dxa"/>
            <w:tcBorders>
              <w:top w:val="nil"/>
              <w:left w:val="nil"/>
              <w:bottom w:val="nil"/>
              <w:right w:val="nil"/>
            </w:tcBorders>
          </w:tcPr>
          <w:p w:rsidR="00DF26C1" w:rsidRDefault="00DF26C1" w:rsidP="007B6DBD">
            <w:pPr>
              <w:pStyle w:val="TableParagraph"/>
              <w:kinsoku w:val="0"/>
              <w:overflowPunct w:val="0"/>
              <w:spacing w:before="9"/>
              <w:ind w:left="49"/>
            </w:pPr>
            <w:r>
              <w:rPr>
                <w:rFonts w:ascii="Arial" w:hAnsi="Arial" w:cs="Arial"/>
                <w:w w:val="105"/>
                <w:sz w:val="9"/>
                <w:szCs w:val="9"/>
              </w:rPr>
              <w:t>57,5</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9"/>
              <w:ind w:left="83"/>
            </w:pPr>
            <w:r>
              <w:rPr>
                <w:rFonts w:ascii="Arial" w:hAnsi="Arial" w:cs="Arial"/>
                <w:w w:val="105"/>
                <w:sz w:val="9"/>
                <w:szCs w:val="9"/>
              </w:rPr>
              <w:t>10,9</w:t>
            </w:r>
          </w:p>
        </w:tc>
        <w:tc>
          <w:tcPr>
            <w:tcW w:w="250" w:type="dxa"/>
            <w:tcBorders>
              <w:top w:val="nil"/>
              <w:left w:val="nil"/>
              <w:bottom w:val="nil"/>
              <w:right w:val="nil"/>
            </w:tcBorders>
          </w:tcPr>
          <w:p w:rsidR="00DF26C1" w:rsidRDefault="00DF26C1" w:rsidP="007B6DBD">
            <w:pPr>
              <w:pStyle w:val="TableParagraph"/>
              <w:kinsoku w:val="0"/>
              <w:overflowPunct w:val="0"/>
              <w:spacing w:before="9"/>
              <w:ind w:left="40"/>
            </w:pPr>
            <w:r>
              <w:rPr>
                <w:rFonts w:ascii="Arial" w:hAnsi="Arial" w:cs="Arial"/>
                <w:w w:val="105"/>
                <w:sz w:val="9"/>
                <w:szCs w:val="9"/>
              </w:rPr>
              <w:t>0,20</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9"/>
              <w:ind w:left="107"/>
            </w:pPr>
            <w:r>
              <w:rPr>
                <w:rFonts w:ascii="Arial" w:hAnsi="Arial" w:cs="Arial"/>
                <w:w w:val="105"/>
                <w:sz w:val="9"/>
                <w:szCs w:val="9"/>
              </w:rPr>
              <w:t>5,5</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37"/>
        </w:trPr>
        <w:tc>
          <w:tcPr>
            <w:tcW w:w="921" w:type="dxa"/>
            <w:tcBorders>
              <w:top w:val="nil"/>
              <w:left w:val="nil"/>
              <w:bottom w:val="nil"/>
              <w:right w:val="nil"/>
            </w:tcBorders>
          </w:tcPr>
          <w:p w:rsidR="00DF26C1" w:rsidRDefault="00DF26C1" w:rsidP="007B6DBD">
            <w:pPr>
              <w:pStyle w:val="TableParagraph"/>
              <w:kinsoku w:val="0"/>
              <w:overflowPunct w:val="0"/>
              <w:spacing w:before="13"/>
              <w:ind w:left="23"/>
            </w:pPr>
            <w:r>
              <w:rPr>
                <w:rFonts w:ascii="Arial" w:hAnsi="Arial" w:cs="Arial"/>
                <w:spacing w:val="-2"/>
                <w:w w:val="105"/>
                <w:sz w:val="9"/>
                <w:szCs w:val="9"/>
                <w:u w:val="single"/>
              </w:rPr>
              <w:t>Valencia</w:t>
            </w:r>
            <w:r>
              <w:rPr>
                <w:rFonts w:ascii="Arial" w:hAnsi="Arial" w:cs="Arial"/>
                <w:spacing w:val="15"/>
                <w:w w:val="105"/>
                <w:sz w:val="9"/>
                <w:szCs w:val="9"/>
                <w:u w:val="single"/>
              </w:rPr>
              <w:t xml:space="preserve"> </w:t>
            </w:r>
            <w:r>
              <w:rPr>
                <w:rFonts w:ascii="Arial" w:hAnsi="Arial" w:cs="Arial"/>
                <w:spacing w:val="-2"/>
                <w:w w:val="105"/>
                <w:sz w:val="9"/>
                <w:szCs w:val="9"/>
                <w:u w:val="single"/>
              </w:rPr>
              <w:t>basin</w:t>
            </w:r>
          </w:p>
        </w:tc>
        <w:tc>
          <w:tcPr>
            <w:tcW w:w="503" w:type="dxa"/>
            <w:tcBorders>
              <w:top w:val="nil"/>
              <w:left w:val="nil"/>
              <w:bottom w:val="nil"/>
              <w:right w:val="nil"/>
            </w:tcBorders>
          </w:tcPr>
          <w:p w:rsidR="00DF26C1" w:rsidRDefault="00DF26C1" w:rsidP="007B6DBD">
            <w:pPr>
              <w:pStyle w:val="TableParagraph"/>
              <w:kinsoku w:val="0"/>
              <w:overflowPunct w:val="0"/>
              <w:spacing w:before="13"/>
              <w:ind w:left="18"/>
              <w:jc w:val="center"/>
            </w:pPr>
            <w:r>
              <w:rPr>
                <w:rFonts w:ascii="Arial" w:hAnsi="Arial" w:cs="Arial"/>
                <w:w w:val="106"/>
                <w:sz w:val="9"/>
                <w:szCs w:val="9"/>
              </w:rPr>
              <w:t>1</w:t>
            </w:r>
          </w:p>
        </w:tc>
        <w:tc>
          <w:tcPr>
            <w:tcW w:w="624" w:type="dxa"/>
            <w:tcBorders>
              <w:top w:val="nil"/>
              <w:left w:val="nil"/>
              <w:bottom w:val="nil"/>
              <w:right w:val="nil"/>
            </w:tcBorders>
          </w:tcPr>
          <w:p w:rsidR="00DF26C1" w:rsidRDefault="00DF26C1" w:rsidP="007B6DBD">
            <w:pPr>
              <w:pStyle w:val="TableParagraph"/>
              <w:kinsoku w:val="0"/>
              <w:overflowPunct w:val="0"/>
              <w:spacing w:before="13"/>
              <w:ind w:left="16"/>
            </w:pPr>
            <w:r>
              <w:rPr>
                <w:rFonts w:ascii="Arial" w:hAnsi="Arial" w:cs="Arial"/>
                <w:w w:val="105"/>
                <w:sz w:val="9"/>
                <w:szCs w:val="9"/>
              </w:rPr>
              <w:t>rhyolite</w:t>
            </w:r>
          </w:p>
        </w:tc>
        <w:tc>
          <w:tcPr>
            <w:tcW w:w="559" w:type="dxa"/>
            <w:tcBorders>
              <w:top w:val="nil"/>
              <w:left w:val="nil"/>
              <w:bottom w:val="nil"/>
              <w:right w:val="nil"/>
            </w:tcBorders>
          </w:tcPr>
          <w:p w:rsidR="00DF26C1" w:rsidRDefault="00DF26C1" w:rsidP="007B6DBD">
            <w:pPr>
              <w:pStyle w:val="TableParagraph"/>
              <w:kinsoku w:val="0"/>
              <w:overflowPunct w:val="0"/>
              <w:spacing w:before="13"/>
              <w:ind w:left="66"/>
            </w:pPr>
            <w:r>
              <w:rPr>
                <w:rFonts w:ascii="Arial" w:hAnsi="Arial" w:cs="Arial"/>
                <w:w w:val="105"/>
                <w:sz w:val="9"/>
                <w:szCs w:val="9"/>
              </w:rPr>
              <w:t>pyroclastic</w:t>
            </w:r>
          </w:p>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13"/>
              <w:ind w:left="6"/>
            </w:pPr>
            <w:r>
              <w:rPr>
                <w:rFonts w:ascii="Arial" w:hAnsi="Arial" w:cs="Arial"/>
                <w:w w:val="105"/>
                <w:sz w:val="9"/>
                <w:szCs w:val="9"/>
              </w:rPr>
              <w:t>/123/2/6</w:t>
            </w:r>
          </w:p>
        </w:tc>
        <w:tc>
          <w:tcPr>
            <w:tcW w:w="437" w:type="dxa"/>
            <w:tcBorders>
              <w:top w:val="nil"/>
              <w:left w:val="nil"/>
              <w:bottom w:val="nil"/>
              <w:right w:val="nil"/>
            </w:tcBorders>
          </w:tcPr>
          <w:p w:rsidR="00DF26C1" w:rsidRDefault="00DF26C1" w:rsidP="007B6DBD">
            <w:pPr>
              <w:pStyle w:val="TableParagraph"/>
              <w:kinsoku w:val="0"/>
              <w:overflowPunct w:val="0"/>
              <w:spacing w:before="13"/>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spacing w:before="13"/>
              <w:ind w:left="10"/>
              <w:jc w:val="center"/>
            </w:pPr>
            <w:r>
              <w:rPr>
                <w:rFonts w:ascii="Arial" w:hAnsi="Arial" w:cs="Arial"/>
                <w:w w:val="106"/>
                <w:sz w:val="9"/>
                <w:szCs w:val="9"/>
              </w:rPr>
              <w:t>1</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13"/>
              <w:ind w:left="31"/>
            </w:pPr>
            <w:r>
              <w:rPr>
                <w:rFonts w:ascii="Arial" w:hAnsi="Arial" w:cs="Arial"/>
                <w:w w:val="105"/>
                <w:sz w:val="9"/>
                <w:szCs w:val="9"/>
              </w:rPr>
              <w:t>70,47</w:t>
            </w:r>
          </w:p>
        </w:tc>
        <w:tc>
          <w:tcPr>
            <w:tcW w:w="293" w:type="dxa"/>
            <w:tcBorders>
              <w:top w:val="nil"/>
              <w:left w:val="nil"/>
              <w:bottom w:val="nil"/>
              <w:right w:val="nil"/>
            </w:tcBorders>
          </w:tcPr>
          <w:p w:rsidR="00DF26C1" w:rsidRDefault="00DF26C1" w:rsidP="007B6DBD">
            <w:pPr>
              <w:pStyle w:val="TableParagraph"/>
              <w:kinsoku w:val="0"/>
              <w:overflowPunct w:val="0"/>
              <w:spacing w:before="13"/>
              <w:ind w:left="83"/>
            </w:pPr>
            <w:r>
              <w:rPr>
                <w:rFonts w:ascii="Arial" w:hAnsi="Arial" w:cs="Arial"/>
                <w:w w:val="105"/>
                <w:sz w:val="9"/>
                <w:szCs w:val="9"/>
              </w:rPr>
              <w:t>0,24</w:t>
            </w:r>
          </w:p>
        </w:tc>
        <w:tc>
          <w:tcPr>
            <w:tcW w:w="308" w:type="dxa"/>
            <w:tcBorders>
              <w:top w:val="nil"/>
              <w:left w:val="nil"/>
              <w:bottom w:val="nil"/>
              <w:right w:val="nil"/>
            </w:tcBorders>
          </w:tcPr>
          <w:p w:rsidR="00DF26C1" w:rsidRDefault="00DF26C1" w:rsidP="007B6DBD">
            <w:pPr>
              <w:pStyle w:val="TableParagraph"/>
              <w:kinsoku w:val="0"/>
              <w:overflowPunct w:val="0"/>
              <w:spacing w:before="13"/>
              <w:ind w:left="57"/>
            </w:pPr>
            <w:r>
              <w:rPr>
                <w:rFonts w:ascii="Arial" w:hAnsi="Arial" w:cs="Arial"/>
                <w:w w:val="105"/>
                <w:sz w:val="9"/>
                <w:szCs w:val="9"/>
              </w:rPr>
              <w:t>12,37</w:t>
            </w:r>
          </w:p>
        </w:tc>
        <w:tc>
          <w:tcPr>
            <w:tcW w:w="353" w:type="dxa"/>
            <w:tcBorders>
              <w:top w:val="nil"/>
              <w:left w:val="nil"/>
              <w:bottom w:val="nil"/>
              <w:right w:val="nil"/>
            </w:tcBorders>
          </w:tcPr>
          <w:p w:rsidR="00DF26C1" w:rsidRDefault="00DF26C1" w:rsidP="007B6DBD">
            <w:pPr>
              <w:pStyle w:val="TableParagraph"/>
              <w:kinsoku w:val="0"/>
              <w:overflowPunct w:val="0"/>
              <w:spacing w:before="13"/>
              <w:ind w:left="140"/>
            </w:pPr>
            <w:r>
              <w:rPr>
                <w:rFonts w:ascii="Arial" w:hAnsi="Arial" w:cs="Arial"/>
                <w:w w:val="105"/>
                <w:sz w:val="9"/>
                <w:szCs w:val="9"/>
              </w:rPr>
              <w:t>1,99</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13"/>
              <w:ind w:left="28"/>
            </w:pPr>
            <w:r>
              <w:rPr>
                <w:rFonts w:ascii="Arial" w:hAnsi="Arial" w:cs="Arial"/>
                <w:w w:val="105"/>
                <w:sz w:val="9"/>
                <w:szCs w:val="9"/>
              </w:rPr>
              <w:t>0,02</w:t>
            </w:r>
          </w:p>
        </w:tc>
        <w:tc>
          <w:tcPr>
            <w:tcW w:w="269" w:type="dxa"/>
            <w:tcBorders>
              <w:top w:val="nil"/>
              <w:left w:val="nil"/>
              <w:bottom w:val="nil"/>
              <w:right w:val="nil"/>
            </w:tcBorders>
          </w:tcPr>
          <w:p w:rsidR="00DF26C1" w:rsidRDefault="00DF26C1" w:rsidP="007B6DBD">
            <w:pPr>
              <w:pStyle w:val="TableParagraph"/>
              <w:kinsoku w:val="0"/>
              <w:overflowPunct w:val="0"/>
              <w:spacing w:before="13"/>
              <w:ind w:left="54"/>
            </w:pPr>
            <w:r>
              <w:rPr>
                <w:rFonts w:ascii="Arial" w:hAnsi="Arial" w:cs="Arial"/>
                <w:w w:val="105"/>
                <w:sz w:val="9"/>
                <w:szCs w:val="9"/>
              </w:rPr>
              <w:t>1,19</w:t>
            </w:r>
          </w:p>
        </w:tc>
        <w:tc>
          <w:tcPr>
            <w:tcW w:w="261" w:type="dxa"/>
            <w:tcBorders>
              <w:top w:val="nil"/>
              <w:left w:val="nil"/>
              <w:bottom w:val="nil"/>
              <w:right w:val="nil"/>
            </w:tcBorders>
          </w:tcPr>
          <w:p w:rsidR="00DF26C1" w:rsidRDefault="00DF26C1" w:rsidP="007B6DBD">
            <w:pPr>
              <w:pStyle w:val="TableParagraph"/>
              <w:kinsoku w:val="0"/>
              <w:overflowPunct w:val="0"/>
              <w:spacing w:before="13"/>
              <w:ind w:left="56"/>
            </w:pPr>
            <w:r>
              <w:rPr>
                <w:rFonts w:ascii="Arial" w:hAnsi="Arial" w:cs="Arial"/>
                <w:w w:val="105"/>
                <w:sz w:val="9"/>
                <w:szCs w:val="9"/>
              </w:rPr>
              <w:t>0,69</w:t>
            </w:r>
          </w:p>
        </w:tc>
        <w:tc>
          <w:tcPr>
            <w:tcW w:w="278" w:type="dxa"/>
            <w:tcBorders>
              <w:top w:val="nil"/>
              <w:left w:val="nil"/>
              <w:bottom w:val="nil"/>
              <w:right w:val="nil"/>
            </w:tcBorders>
          </w:tcPr>
          <w:p w:rsidR="00DF26C1" w:rsidRDefault="00DF26C1" w:rsidP="007B6DBD">
            <w:pPr>
              <w:pStyle w:val="TableParagraph"/>
              <w:kinsoku w:val="0"/>
              <w:overflowPunct w:val="0"/>
              <w:spacing w:before="13"/>
              <w:ind w:left="54"/>
            </w:pPr>
            <w:r>
              <w:rPr>
                <w:rFonts w:ascii="Arial" w:hAnsi="Arial" w:cs="Arial"/>
                <w:w w:val="105"/>
                <w:sz w:val="9"/>
                <w:szCs w:val="9"/>
              </w:rPr>
              <w:t>2,98</w:t>
            </w:r>
          </w:p>
        </w:tc>
        <w:tc>
          <w:tcPr>
            <w:tcW w:w="237" w:type="dxa"/>
            <w:tcBorders>
              <w:top w:val="nil"/>
              <w:left w:val="nil"/>
              <w:bottom w:val="nil"/>
              <w:right w:val="nil"/>
            </w:tcBorders>
          </w:tcPr>
          <w:p w:rsidR="00DF26C1" w:rsidRDefault="00DF26C1" w:rsidP="007B6DBD">
            <w:pPr>
              <w:pStyle w:val="TableParagraph"/>
              <w:kinsoku w:val="0"/>
              <w:overflowPunct w:val="0"/>
              <w:spacing w:before="13"/>
              <w:ind w:left="26"/>
            </w:pPr>
            <w:r>
              <w:rPr>
                <w:rFonts w:ascii="Arial" w:hAnsi="Arial" w:cs="Arial"/>
                <w:w w:val="105"/>
                <w:sz w:val="9"/>
                <w:szCs w:val="9"/>
              </w:rPr>
              <w:t>3,76</w:t>
            </w:r>
          </w:p>
        </w:tc>
        <w:tc>
          <w:tcPr>
            <w:tcW w:w="296" w:type="dxa"/>
            <w:tcBorders>
              <w:top w:val="nil"/>
              <w:left w:val="nil"/>
              <w:bottom w:val="nil"/>
              <w:right w:val="nil"/>
            </w:tcBorders>
          </w:tcPr>
          <w:p w:rsidR="00DF26C1" w:rsidRDefault="00DF26C1" w:rsidP="007B6DBD"/>
        </w:tc>
        <w:tc>
          <w:tcPr>
            <w:tcW w:w="274" w:type="dxa"/>
            <w:tcBorders>
              <w:top w:val="nil"/>
              <w:left w:val="nil"/>
              <w:bottom w:val="nil"/>
              <w:right w:val="nil"/>
            </w:tcBorders>
          </w:tcPr>
          <w:p w:rsidR="00DF26C1" w:rsidRDefault="00DF26C1" w:rsidP="007B6DBD">
            <w:pPr>
              <w:pStyle w:val="TableParagraph"/>
              <w:kinsoku w:val="0"/>
              <w:overflowPunct w:val="0"/>
              <w:spacing w:before="13"/>
              <w:ind w:left="64"/>
            </w:pPr>
            <w:r>
              <w:rPr>
                <w:rFonts w:ascii="Arial" w:hAnsi="Arial" w:cs="Arial"/>
                <w:w w:val="105"/>
                <w:sz w:val="9"/>
                <w:szCs w:val="9"/>
              </w:rPr>
              <w:t>6,70</w:t>
            </w:r>
          </w:p>
        </w:tc>
        <w:tc>
          <w:tcPr>
            <w:tcW w:w="350" w:type="dxa"/>
            <w:tcBorders>
              <w:top w:val="nil"/>
              <w:left w:val="nil"/>
              <w:bottom w:val="nil"/>
              <w:right w:val="nil"/>
            </w:tcBorders>
          </w:tcPr>
          <w:p w:rsidR="00DF26C1" w:rsidRDefault="00DF26C1" w:rsidP="007B6DBD">
            <w:pPr>
              <w:pStyle w:val="TableParagraph"/>
              <w:kinsoku w:val="0"/>
              <w:overflowPunct w:val="0"/>
              <w:spacing w:before="13"/>
              <w:ind w:left="30"/>
            </w:pPr>
            <w:r>
              <w:rPr>
                <w:rFonts w:ascii="Arial" w:hAnsi="Arial" w:cs="Arial"/>
                <w:w w:val="105"/>
                <w:sz w:val="9"/>
                <w:szCs w:val="9"/>
              </w:rPr>
              <w:t>100,40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tc>
        <w:tc>
          <w:tcPr>
            <w:tcW w:w="253" w:type="dxa"/>
            <w:tcBorders>
              <w:top w:val="nil"/>
              <w:left w:val="nil"/>
              <w:bottom w:val="nil"/>
              <w:right w:val="nil"/>
            </w:tcBorders>
          </w:tcPr>
          <w:p w:rsidR="00DF26C1" w:rsidRDefault="00DF26C1" w:rsidP="007B6DBD"/>
        </w:tc>
        <w:tc>
          <w:tcPr>
            <w:tcW w:w="245"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13"/>
              <w:ind w:left="28"/>
            </w:pPr>
            <w:r>
              <w:rPr>
                <w:rFonts w:ascii="Arial" w:hAnsi="Arial" w:cs="Arial"/>
                <w:w w:val="105"/>
                <w:sz w:val="9"/>
                <w:szCs w:val="9"/>
              </w:rPr>
              <w:t>58,2</w:t>
            </w:r>
          </w:p>
        </w:tc>
        <w:tc>
          <w:tcPr>
            <w:tcW w:w="302" w:type="dxa"/>
            <w:tcBorders>
              <w:top w:val="nil"/>
              <w:left w:val="nil"/>
              <w:bottom w:val="nil"/>
              <w:right w:val="nil"/>
            </w:tcBorders>
          </w:tcPr>
          <w:p w:rsidR="00DF26C1" w:rsidRDefault="00DF26C1" w:rsidP="007B6DBD">
            <w:pPr>
              <w:pStyle w:val="TableParagraph"/>
              <w:kinsoku w:val="0"/>
              <w:overflowPunct w:val="0"/>
              <w:spacing w:before="13"/>
              <w:ind w:left="119"/>
            </w:pPr>
            <w:r>
              <w:rPr>
                <w:rFonts w:ascii="Arial" w:hAnsi="Arial" w:cs="Arial"/>
                <w:w w:val="105"/>
                <w:sz w:val="9"/>
                <w:szCs w:val="9"/>
              </w:rPr>
              <w:t>115</w:t>
            </w:r>
          </w:p>
        </w:tc>
        <w:tc>
          <w:tcPr>
            <w:tcW w:w="259" w:type="dxa"/>
            <w:tcBorders>
              <w:top w:val="nil"/>
              <w:left w:val="nil"/>
              <w:bottom w:val="nil"/>
              <w:right w:val="nil"/>
            </w:tcBorders>
          </w:tcPr>
          <w:p w:rsidR="00DF26C1" w:rsidRDefault="00DF26C1" w:rsidP="007B6DBD">
            <w:pPr>
              <w:pStyle w:val="TableParagraph"/>
              <w:kinsoku w:val="0"/>
              <w:overflowPunct w:val="0"/>
              <w:spacing w:before="13"/>
              <w:ind w:left="49"/>
            </w:pPr>
            <w:r>
              <w:rPr>
                <w:rFonts w:ascii="Arial" w:hAnsi="Arial" w:cs="Arial"/>
                <w:w w:val="105"/>
                <w:sz w:val="9"/>
                <w:szCs w:val="9"/>
              </w:rPr>
              <w:t>44,5</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spacing w:before="13"/>
              <w:ind w:left="-11"/>
            </w:pPr>
            <w:r>
              <w:rPr>
                <w:rFonts w:ascii="Arial" w:hAnsi="Arial" w:cs="Arial"/>
                <w:w w:val="105"/>
                <w:sz w:val="9"/>
                <w:szCs w:val="9"/>
              </w:rPr>
              <w:t>8,6</w:t>
            </w:r>
          </w:p>
        </w:tc>
        <w:tc>
          <w:tcPr>
            <w:tcW w:w="250" w:type="dxa"/>
            <w:tcBorders>
              <w:top w:val="nil"/>
              <w:left w:val="nil"/>
              <w:bottom w:val="nil"/>
              <w:right w:val="nil"/>
            </w:tcBorders>
          </w:tcPr>
          <w:p w:rsidR="00DF26C1" w:rsidRDefault="00DF26C1" w:rsidP="007B6DBD">
            <w:pPr>
              <w:pStyle w:val="TableParagraph"/>
              <w:kinsoku w:val="0"/>
              <w:overflowPunct w:val="0"/>
              <w:spacing w:before="13"/>
              <w:ind w:left="40"/>
            </w:pPr>
            <w:r>
              <w:rPr>
                <w:rFonts w:ascii="Arial" w:hAnsi="Arial" w:cs="Arial"/>
                <w:w w:val="105"/>
                <w:sz w:val="9"/>
                <w:szCs w:val="9"/>
              </w:rPr>
              <w:t>0,11</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13"/>
              <w:ind w:left="107"/>
            </w:pPr>
            <w:r>
              <w:rPr>
                <w:rFonts w:ascii="Arial" w:hAnsi="Arial" w:cs="Arial"/>
                <w:w w:val="105"/>
                <w:sz w:val="9"/>
                <w:szCs w:val="9"/>
              </w:rPr>
              <w:t>4,1</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34"/>
        </w:trPr>
        <w:tc>
          <w:tcPr>
            <w:tcW w:w="921" w:type="dxa"/>
            <w:tcBorders>
              <w:top w:val="nil"/>
              <w:left w:val="nil"/>
              <w:bottom w:val="nil"/>
              <w:right w:val="nil"/>
            </w:tcBorders>
          </w:tcPr>
          <w:p w:rsidR="00DF26C1" w:rsidRDefault="00DF26C1" w:rsidP="007B6DBD">
            <w:pPr>
              <w:pStyle w:val="TableParagraph"/>
              <w:kinsoku w:val="0"/>
              <w:overflowPunct w:val="0"/>
              <w:spacing w:before="13"/>
              <w:ind w:left="23"/>
            </w:pPr>
            <w:r>
              <w:rPr>
                <w:rFonts w:ascii="Arial" w:hAnsi="Arial" w:cs="Arial"/>
                <w:w w:val="105"/>
                <w:sz w:val="9"/>
                <w:szCs w:val="9"/>
              </w:rPr>
              <w:t xml:space="preserve">Mallorca </w:t>
            </w:r>
            <w:r>
              <w:rPr>
                <w:rFonts w:ascii="Arial" w:hAnsi="Arial" w:cs="Arial"/>
                <w:spacing w:val="-3"/>
                <w:w w:val="105"/>
                <w:sz w:val="9"/>
                <w:szCs w:val="9"/>
              </w:rPr>
              <w:t>isl.</w:t>
            </w:r>
          </w:p>
        </w:tc>
        <w:tc>
          <w:tcPr>
            <w:tcW w:w="503" w:type="dxa"/>
            <w:tcBorders>
              <w:top w:val="nil"/>
              <w:left w:val="nil"/>
              <w:bottom w:val="nil"/>
              <w:right w:val="nil"/>
            </w:tcBorders>
          </w:tcPr>
          <w:p w:rsidR="00DF26C1" w:rsidRDefault="00DF26C1" w:rsidP="007B6DBD">
            <w:pPr>
              <w:pStyle w:val="TableParagraph"/>
              <w:kinsoku w:val="0"/>
              <w:overflowPunct w:val="0"/>
              <w:spacing w:before="13"/>
              <w:ind w:left="17"/>
              <w:jc w:val="center"/>
            </w:pPr>
            <w:r>
              <w:rPr>
                <w:rFonts w:ascii="Arial" w:hAnsi="Arial" w:cs="Arial"/>
                <w:w w:val="105"/>
                <w:sz w:val="9"/>
                <w:szCs w:val="9"/>
              </w:rPr>
              <w:t>18</w:t>
            </w:r>
          </w:p>
        </w:tc>
        <w:tc>
          <w:tcPr>
            <w:tcW w:w="624" w:type="dxa"/>
            <w:tcBorders>
              <w:top w:val="nil"/>
              <w:left w:val="nil"/>
              <w:bottom w:val="nil"/>
              <w:right w:val="nil"/>
            </w:tcBorders>
          </w:tcPr>
          <w:p w:rsidR="00DF26C1" w:rsidRDefault="00DF26C1" w:rsidP="007B6DBD">
            <w:pPr>
              <w:pStyle w:val="TableParagraph"/>
              <w:kinsoku w:val="0"/>
              <w:overflowPunct w:val="0"/>
              <w:spacing w:before="13"/>
              <w:ind w:left="16"/>
            </w:pPr>
            <w:r>
              <w:rPr>
                <w:rFonts w:ascii="Arial" w:hAnsi="Arial" w:cs="Arial"/>
                <w:w w:val="105"/>
                <w:sz w:val="9"/>
                <w:szCs w:val="9"/>
              </w:rPr>
              <w:t>rhyolite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13"/>
              <w:ind w:left="6"/>
            </w:pPr>
            <w:r>
              <w:rPr>
                <w:rFonts w:ascii="Arial" w:hAnsi="Arial" w:cs="Arial"/>
                <w:w w:val="105"/>
                <w:sz w:val="9"/>
                <w:szCs w:val="9"/>
              </w:rPr>
              <w:t>PO-5</w:t>
            </w:r>
          </w:p>
        </w:tc>
        <w:tc>
          <w:tcPr>
            <w:tcW w:w="437" w:type="dxa"/>
            <w:tcBorders>
              <w:top w:val="nil"/>
              <w:left w:val="nil"/>
              <w:bottom w:val="nil"/>
              <w:right w:val="nil"/>
            </w:tcBorders>
          </w:tcPr>
          <w:p w:rsidR="00DF26C1" w:rsidRDefault="00DF26C1" w:rsidP="007B6DBD">
            <w:pPr>
              <w:pStyle w:val="TableParagraph"/>
              <w:kinsoku w:val="0"/>
              <w:overflowPunct w:val="0"/>
              <w:spacing w:before="13"/>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13"/>
              <w:ind w:left="10"/>
              <w:jc w:val="center"/>
            </w:pPr>
            <w:r>
              <w:rPr>
                <w:rFonts w:ascii="Arial" w:hAnsi="Arial" w:cs="Arial"/>
                <w:w w:val="106"/>
                <w:sz w:val="9"/>
                <w:szCs w:val="9"/>
              </w:rPr>
              <w:t>7</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13"/>
              <w:ind w:left="31"/>
            </w:pPr>
            <w:r>
              <w:rPr>
                <w:rFonts w:ascii="Arial" w:hAnsi="Arial" w:cs="Arial"/>
                <w:w w:val="105"/>
                <w:sz w:val="9"/>
                <w:szCs w:val="9"/>
              </w:rPr>
              <w:t>71,00</w:t>
            </w:r>
          </w:p>
        </w:tc>
        <w:tc>
          <w:tcPr>
            <w:tcW w:w="293" w:type="dxa"/>
            <w:tcBorders>
              <w:top w:val="nil"/>
              <w:left w:val="nil"/>
              <w:bottom w:val="nil"/>
              <w:right w:val="nil"/>
            </w:tcBorders>
          </w:tcPr>
          <w:p w:rsidR="00DF26C1" w:rsidRDefault="00DF26C1" w:rsidP="007B6DBD">
            <w:pPr>
              <w:pStyle w:val="TableParagraph"/>
              <w:kinsoku w:val="0"/>
              <w:overflowPunct w:val="0"/>
              <w:spacing w:before="13"/>
              <w:ind w:left="83"/>
            </w:pPr>
            <w:r>
              <w:rPr>
                <w:rFonts w:ascii="Arial" w:hAnsi="Arial" w:cs="Arial"/>
                <w:w w:val="105"/>
                <w:sz w:val="9"/>
                <w:szCs w:val="9"/>
              </w:rPr>
              <w:t>0,21</w:t>
            </w:r>
          </w:p>
        </w:tc>
        <w:tc>
          <w:tcPr>
            <w:tcW w:w="308" w:type="dxa"/>
            <w:tcBorders>
              <w:top w:val="nil"/>
              <w:left w:val="nil"/>
              <w:bottom w:val="nil"/>
              <w:right w:val="nil"/>
            </w:tcBorders>
          </w:tcPr>
          <w:p w:rsidR="00DF26C1" w:rsidRDefault="00DF26C1" w:rsidP="007B6DBD">
            <w:pPr>
              <w:pStyle w:val="TableParagraph"/>
              <w:kinsoku w:val="0"/>
              <w:overflowPunct w:val="0"/>
              <w:spacing w:before="13"/>
              <w:ind w:left="57"/>
            </w:pPr>
            <w:r>
              <w:rPr>
                <w:rFonts w:ascii="Arial" w:hAnsi="Arial" w:cs="Arial"/>
                <w:w w:val="105"/>
                <w:sz w:val="9"/>
                <w:szCs w:val="9"/>
              </w:rPr>
              <w:t>12,08</w:t>
            </w:r>
          </w:p>
        </w:tc>
        <w:tc>
          <w:tcPr>
            <w:tcW w:w="353" w:type="dxa"/>
            <w:tcBorders>
              <w:top w:val="nil"/>
              <w:left w:val="nil"/>
              <w:bottom w:val="nil"/>
              <w:right w:val="nil"/>
            </w:tcBorders>
          </w:tcPr>
          <w:p w:rsidR="00DF26C1" w:rsidRDefault="00DF26C1" w:rsidP="007B6DBD">
            <w:pPr>
              <w:pStyle w:val="TableParagraph"/>
              <w:kinsoku w:val="0"/>
              <w:overflowPunct w:val="0"/>
              <w:spacing w:before="13"/>
              <w:ind w:left="140"/>
            </w:pPr>
            <w:r>
              <w:rPr>
                <w:rFonts w:ascii="Arial" w:hAnsi="Arial" w:cs="Arial"/>
                <w:w w:val="105"/>
                <w:sz w:val="9"/>
                <w:szCs w:val="9"/>
              </w:rPr>
              <w:t>0,47</w:t>
            </w:r>
          </w:p>
        </w:tc>
        <w:tc>
          <w:tcPr>
            <w:tcW w:w="234" w:type="dxa"/>
            <w:tcBorders>
              <w:top w:val="nil"/>
              <w:left w:val="nil"/>
              <w:bottom w:val="nil"/>
              <w:right w:val="nil"/>
            </w:tcBorders>
          </w:tcPr>
          <w:p w:rsidR="00DF26C1" w:rsidRDefault="00DF26C1" w:rsidP="007B6DBD">
            <w:pPr>
              <w:pStyle w:val="TableParagraph"/>
              <w:kinsoku w:val="0"/>
              <w:overflowPunct w:val="0"/>
              <w:spacing w:before="13"/>
              <w:ind w:left="17"/>
            </w:pPr>
            <w:r>
              <w:rPr>
                <w:rFonts w:ascii="Arial" w:hAnsi="Arial" w:cs="Arial"/>
                <w:w w:val="105"/>
                <w:sz w:val="9"/>
                <w:szCs w:val="9"/>
              </w:rPr>
              <w:t>0,84</w:t>
            </w:r>
          </w:p>
        </w:tc>
        <w:tc>
          <w:tcPr>
            <w:tcW w:w="224" w:type="dxa"/>
            <w:tcBorders>
              <w:top w:val="nil"/>
              <w:left w:val="nil"/>
              <w:bottom w:val="nil"/>
              <w:right w:val="nil"/>
            </w:tcBorders>
          </w:tcPr>
          <w:p w:rsidR="00DF26C1" w:rsidRDefault="00DF26C1" w:rsidP="007B6DBD">
            <w:pPr>
              <w:pStyle w:val="TableParagraph"/>
              <w:kinsoku w:val="0"/>
              <w:overflowPunct w:val="0"/>
              <w:spacing w:before="13"/>
              <w:ind w:left="28"/>
            </w:pPr>
            <w:r>
              <w:rPr>
                <w:rFonts w:ascii="Arial" w:hAnsi="Arial" w:cs="Arial"/>
                <w:w w:val="105"/>
                <w:sz w:val="9"/>
                <w:szCs w:val="9"/>
              </w:rPr>
              <w:t>0,01</w:t>
            </w:r>
          </w:p>
        </w:tc>
        <w:tc>
          <w:tcPr>
            <w:tcW w:w="269" w:type="dxa"/>
            <w:tcBorders>
              <w:top w:val="nil"/>
              <w:left w:val="nil"/>
              <w:bottom w:val="nil"/>
              <w:right w:val="nil"/>
            </w:tcBorders>
          </w:tcPr>
          <w:p w:rsidR="00DF26C1" w:rsidRDefault="00DF26C1" w:rsidP="007B6DBD">
            <w:pPr>
              <w:pStyle w:val="TableParagraph"/>
              <w:kinsoku w:val="0"/>
              <w:overflowPunct w:val="0"/>
              <w:spacing w:before="13"/>
              <w:ind w:left="54"/>
            </w:pPr>
            <w:r>
              <w:rPr>
                <w:rFonts w:ascii="Arial" w:hAnsi="Arial" w:cs="Arial"/>
                <w:w w:val="105"/>
                <w:sz w:val="9"/>
                <w:szCs w:val="9"/>
              </w:rPr>
              <w:t>0,24</w:t>
            </w:r>
          </w:p>
        </w:tc>
        <w:tc>
          <w:tcPr>
            <w:tcW w:w="261" w:type="dxa"/>
            <w:tcBorders>
              <w:top w:val="nil"/>
              <w:left w:val="nil"/>
              <w:bottom w:val="nil"/>
              <w:right w:val="nil"/>
            </w:tcBorders>
          </w:tcPr>
          <w:p w:rsidR="00DF26C1" w:rsidRDefault="00DF26C1" w:rsidP="007B6DBD">
            <w:pPr>
              <w:pStyle w:val="TableParagraph"/>
              <w:kinsoku w:val="0"/>
              <w:overflowPunct w:val="0"/>
              <w:spacing w:before="13"/>
              <w:ind w:left="56"/>
            </w:pPr>
            <w:r>
              <w:rPr>
                <w:rFonts w:ascii="Arial" w:hAnsi="Arial" w:cs="Arial"/>
                <w:w w:val="105"/>
                <w:sz w:val="9"/>
                <w:szCs w:val="9"/>
              </w:rPr>
              <w:t>0,71</w:t>
            </w:r>
          </w:p>
        </w:tc>
        <w:tc>
          <w:tcPr>
            <w:tcW w:w="278" w:type="dxa"/>
            <w:tcBorders>
              <w:top w:val="nil"/>
              <w:left w:val="nil"/>
              <w:bottom w:val="nil"/>
              <w:right w:val="nil"/>
            </w:tcBorders>
          </w:tcPr>
          <w:p w:rsidR="00DF26C1" w:rsidRDefault="00DF26C1" w:rsidP="007B6DBD">
            <w:pPr>
              <w:pStyle w:val="TableParagraph"/>
              <w:kinsoku w:val="0"/>
              <w:overflowPunct w:val="0"/>
              <w:spacing w:before="13"/>
              <w:ind w:left="54"/>
            </w:pPr>
            <w:r>
              <w:rPr>
                <w:rFonts w:ascii="Arial" w:hAnsi="Arial" w:cs="Arial"/>
                <w:w w:val="105"/>
                <w:sz w:val="9"/>
                <w:szCs w:val="9"/>
              </w:rPr>
              <w:t>3,13</w:t>
            </w:r>
          </w:p>
        </w:tc>
        <w:tc>
          <w:tcPr>
            <w:tcW w:w="237" w:type="dxa"/>
            <w:tcBorders>
              <w:top w:val="nil"/>
              <w:left w:val="nil"/>
              <w:bottom w:val="nil"/>
              <w:right w:val="nil"/>
            </w:tcBorders>
          </w:tcPr>
          <w:p w:rsidR="00DF26C1" w:rsidRDefault="00DF26C1" w:rsidP="007B6DBD">
            <w:pPr>
              <w:pStyle w:val="TableParagraph"/>
              <w:kinsoku w:val="0"/>
              <w:overflowPunct w:val="0"/>
              <w:spacing w:before="13"/>
              <w:ind w:left="26"/>
            </w:pPr>
            <w:r>
              <w:rPr>
                <w:rFonts w:ascii="Arial" w:hAnsi="Arial" w:cs="Arial"/>
                <w:w w:val="105"/>
                <w:sz w:val="9"/>
                <w:szCs w:val="9"/>
              </w:rPr>
              <w:t>4,84</w:t>
            </w:r>
          </w:p>
        </w:tc>
        <w:tc>
          <w:tcPr>
            <w:tcW w:w="296" w:type="dxa"/>
            <w:tcBorders>
              <w:top w:val="nil"/>
              <w:left w:val="nil"/>
              <w:bottom w:val="nil"/>
              <w:right w:val="nil"/>
            </w:tcBorders>
          </w:tcPr>
          <w:p w:rsidR="00DF26C1" w:rsidRDefault="00DF26C1" w:rsidP="007B6DBD">
            <w:pPr>
              <w:pStyle w:val="TableParagraph"/>
              <w:kinsoku w:val="0"/>
              <w:overflowPunct w:val="0"/>
              <w:spacing w:before="13"/>
              <w:ind w:left="81"/>
            </w:pPr>
            <w:r>
              <w:rPr>
                <w:rFonts w:ascii="Arial" w:hAnsi="Arial" w:cs="Arial"/>
                <w:w w:val="105"/>
                <w:sz w:val="9"/>
                <w:szCs w:val="9"/>
              </w:rPr>
              <w:t>0,01</w:t>
            </w:r>
          </w:p>
        </w:tc>
        <w:tc>
          <w:tcPr>
            <w:tcW w:w="274" w:type="dxa"/>
            <w:tcBorders>
              <w:top w:val="nil"/>
              <w:left w:val="nil"/>
              <w:bottom w:val="nil"/>
              <w:right w:val="nil"/>
            </w:tcBorders>
          </w:tcPr>
          <w:p w:rsidR="00DF26C1" w:rsidRDefault="00DF26C1" w:rsidP="007B6DBD">
            <w:pPr>
              <w:pStyle w:val="TableParagraph"/>
              <w:kinsoku w:val="0"/>
              <w:overflowPunct w:val="0"/>
              <w:spacing w:before="13"/>
              <w:ind w:left="64"/>
            </w:pPr>
            <w:r>
              <w:rPr>
                <w:rFonts w:ascii="Arial" w:hAnsi="Arial" w:cs="Arial"/>
                <w:w w:val="105"/>
                <w:sz w:val="9"/>
                <w:szCs w:val="9"/>
              </w:rPr>
              <w:t>6,28</w:t>
            </w:r>
          </w:p>
        </w:tc>
        <w:tc>
          <w:tcPr>
            <w:tcW w:w="350" w:type="dxa"/>
            <w:tcBorders>
              <w:top w:val="nil"/>
              <w:left w:val="nil"/>
              <w:bottom w:val="nil"/>
              <w:right w:val="nil"/>
            </w:tcBorders>
          </w:tcPr>
          <w:p w:rsidR="00DF26C1" w:rsidRDefault="00DF26C1" w:rsidP="007B6DBD">
            <w:pPr>
              <w:pStyle w:val="TableParagraph"/>
              <w:kinsoku w:val="0"/>
              <w:overflowPunct w:val="0"/>
              <w:spacing w:before="13"/>
              <w:ind w:left="83"/>
            </w:pPr>
            <w:r>
              <w:rPr>
                <w:rFonts w:ascii="Arial" w:hAnsi="Arial" w:cs="Arial"/>
                <w:w w:val="105"/>
                <w:sz w:val="9"/>
                <w:szCs w:val="9"/>
              </w:rPr>
              <w:t>99,82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tc>
        <w:tc>
          <w:tcPr>
            <w:tcW w:w="253" w:type="dxa"/>
            <w:tcBorders>
              <w:top w:val="nil"/>
              <w:left w:val="nil"/>
              <w:bottom w:val="nil"/>
              <w:right w:val="nil"/>
            </w:tcBorders>
          </w:tcPr>
          <w:p w:rsidR="00DF26C1" w:rsidRDefault="00DF26C1" w:rsidP="007B6DBD"/>
        </w:tc>
        <w:tc>
          <w:tcPr>
            <w:tcW w:w="245"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pPr>
              <w:pStyle w:val="TableParagraph"/>
              <w:kinsoku w:val="0"/>
              <w:overflowPunct w:val="0"/>
              <w:spacing w:before="13"/>
              <w:ind w:left="22"/>
            </w:pPr>
            <w:r>
              <w:rPr>
                <w:rFonts w:ascii="Arial" w:hAnsi="Arial" w:cs="Arial"/>
                <w:w w:val="105"/>
                <w:sz w:val="9"/>
                <w:szCs w:val="9"/>
              </w:rPr>
              <w:t>31,2</w:t>
            </w:r>
          </w:p>
        </w:tc>
        <w:tc>
          <w:tcPr>
            <w:tcW w:w="255" w:type="dxa"/>
            <w:tcBorders>
              <w:top w:val="nil"/>
              <w:left w:val="nil"/>
              <w:bottom w:val="nil"/>
              <w:right w:val="nil"/>
            </w:tcBorders>
          </w:tcPr>
          <w:p w:rsidR="00DF26C1" w:rsidRDefault="00DF26C1" w:rsidP="007B6DBD">
            <w:pPr>
              <w:pStyle w:val="TableParagraph"/>
              <w:kinsoku w:val="0"/>
              <w:overflowPunct w:val="0"/>
              <w:spacing w:before="13"/>
              <w:ind w:left="28"/>
            </w:pPr>
            <w:r>
              <w:rPr>
                <w:rFonts w:ascii="Arial" w:hAnsi="Arial" w:cs="Arial"/>
                <w:w w:val="105"/>
                <w:sz w:val="9"/>
                <w:szCs w:val="9"/>
              </w:rPr>
              <w:t>65,2</w:t>
            </w:r>
          </w:p>
        </w:tc>
        <w:tc>
          <w:tcPr>
            <w:tcW w:w="302" w:type="dxa"/>
            <w:tcBorders>
              <w:top w:val="nil"/>
              <w:left w:val="nil"/>
              <w:bottom w:val="nil"/>
              <w:right w:val="nil"/>
            </w:tcBorders>
          </w:tcPr>
          <w:p w:rsidR="00DF26C1" w:rsidRDefault="00DF26C1" w:rsidP="007B6DBD">
            <w:pPr>
              <w:pStyle w:val="TableParagraph"/>
              <w:kinsoku w:val="0"/>
              <w:overflowPunct w:val="0"/>
              <w:spacing w:before="13"/>
              <w:ind w:left="119"/>
            </w:pPr>
            <w:r>
              <w:rPr>
                <w:rFonts w:ascii="Arial" w:hAnsi="Arial" w:cs="Arial"/>
                <w:w w:val="105"/>
                <w:sz w:val="9"/>
                <w:szCs w:val="9"/>
              </w:rPr>
              <w:t>126</w:t>
            </w:r>
          </w:p>
        </w:tc>
        <w:tc>
          <w:tcPr>
            <w:tcW w:w="259" w:type="dxa"/>
            <w:tcBorders>
              <w:top w:val="nil"/>
              <w:left w:val="nil"/>
              <w:bottom w:val="nil"/>
              <w:right w:val="nil"/>
            </w:tcBorders>
          </w:tcPr>
          <w:p w:rsidR="00DF26C1" w:rsidRDefault="00DF26C1" w:rsidP="007B6DBD">
            <w:pPr>
              <w:pStyle w:val="TableParagraph"/>
              <w:kinsoku w:val="0"/>
              <w:overflowPunct w:val="0"/>
              <w:spacing w:before="13"/>
              <w:ind w:left="49"/>
            </w:pPr>
            <w:r>
              <w:rPr>
                <w:rFonts w:ascii="Arial" w:hAnsi="Arial" w:cs="Arial"/>
                <w:w w:val="105"/>
                <w:sz w:val="9"/>
                <w:szCs w:val="9"/>
              </w:rPr>
              <w:t>45,2</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13"/>
              <w:ind w:left="40"/>
            </w:pPr>
            <w:r>
              <w:rPr>
                <w:rFonts w:ascii="Arial" w:hAnsi="Arial" w:cs="Arial"/>
                <w:w w:val="105"/>
                <w:sz w:val="9"/>
                <w:szCs w:val="9"/>
              </w:rPr>
              <w:t>0,20</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13"/>
              <w:ind w:left="107"/>
            </w:pPr>
            <w:r>
              <w:rPr>
                <w:rFonts w:ascii="Arial" w:hAnsi="Arial" w:cs="Arial"/>
                <w:w w:val="105"/>
                <w:sz w:val="9"/>
                <w:szCs w:val="9"/>
              </w:rPr>
              <w:t>4,5</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31"/>
        </w:trPr>
        <w:tc>
          <w:tcPr>
            <w:tcW w:w="921" w:type="dxa"/>
            <w:tcBorders>
              <w:top w:val="nil"/>
              <w:left w:val="nil"/>
              <w:bottom w:val="nil"/>
              <w:right w:val="nil"/>
            </w:tcBorders>
          </w:tcPr>
          <w:p w:rsidR="00DF26C1" w:rsidRDefault="00DF26C1" w:rsidP="007B6DBD">
            <w:pPr>
              <w:pStyle w:val="TableParagraph"/>
              <w:kinsoku w:val="0"/>
              <w:overflowPunct w:val="0"/>
              <w:spacing w:before="16"/>
              <w:ind w:left="23"/>
            </w:pPr>
            <w:r>
              <w:rPr>
                <w:rFonts w:ascii="Arial" w:hAnsi="Arial" w:cs="Arial"/>
                <w:w w:val="105"/>
                <w:sz w:val="9"/>
                <w:szCs w:val="9"/>
                <w:u w:val="single"/>
              </w:rPr>
              <w:t>Provence,</w:t>
            </w:r>
            <w:r>
              <w:rPr>
                <w:rFonts w:ascii="Arial" w:hAnsi="Arial" w:cs="Arial"/>
                <w:spacing w:val="-5"/>
                <w:w w:val="105"/>
                <w:sz w:val="9"/>
                <w:szCs w:val="9"/>
                <w:u w:val="single"/>
              </w:rPr>
              <w:t xml:space="preserve"> </w:t>
            </w:r>
            <w:r>
              <w:rPr>
                <w:rFonts w:ascii="Arial" w:hAnsi="Arial" w:cs="Arial"/>
                <w:w w:val="105"/>
                <w:sz w:val="9"/>
                <w:szCs w:val="9"/>
              </w:rPr>
              <w:t>Esterel</w:t>
            </w:r>
          </w:p>
        </w:tc>
        <w:tc>
          <w:tcPr>
            <w:tcW w:w="503" w:type="dxa"/>
            <w:tcBorders>
              <w:top w:val="nil"/>
              <w:left w:val="nil"/>
              <w:bottom w:val="nil"/>
              <w:right w:val="nil"/>
            </w:tcBorders>
          </w:tcPr>
          <w:p w:rsidR="00DF26C1" w:rsidRDefault="00DF26C1" w:rsidP="007B6DBD">
            <w:pPr>
              <w:pStyle w:val="TableParagraph"/>
              <w:kinsoku w:val="0"/>
              <w:overflowPunct w:val="0"/>
              <w:spacing w:before="11"/>
              <w:ind w:left="18"/>
              <w:jc w:val="center"/>
            </w:pPr>
            <w:r>
              <w:rPr>
                <w:rFonts w:ascii="Arial" w:hAnsi="Arial" w:cs="Arial"/>
                <w:w w:val="106"/>
                <w:sz w:val="9"/>
                <w:szCs w:val="9"/>
              </w:rPr>
              <w:t>3</w:t>
            </w:r>
          </w:p>
        </w:tc>
        <w:tc>
          <w:tcPr>
            <w:tcW w:w="624" w:type="dxa"/>
            <w:tcBorders>
              <w:top w:val="nil"/>
              <w:left w:val="nil"/>
              <w:bottom w:val="nil"/>
              <w:right w:val="nil"/>
            </w:tcBorders>
          </w:tcPr>
          <w:p w:rsidR="00DF26C1" w:rsidRDefault="00DF26C1" w:rsidP="007B6DBD">
            <w:pPr>
              <w:pStyle w:val="TableParagraph"/>
              <w:kinsoku w:val="0"/>
              <w:overflowPunct w:val="0"/>
              <w:spacing w:before="11"/>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11"/>
              <w:ind w:left="6"/>
            </w:pPr>
            <w:r>
              <w:rPr>
                <w:rFonts w:ascii="Arial" w:hAnsi="Arial" w:cs="Arial"/>
                <w:w w:val="105"/>
                <w:sz w:val="9"/>
                <w:szCs w:val="9"/>
              </w:rPr>
              <w:t>77S4F</w:t>
            </w:r>
          </w:p>
        </w:tc>
        <w:tc>
          <w:tcPr>
            <w:tcW w:w="437" w:type="dxa"/>
            <w:tcBorders>
              <w:top w:val="nil"/>
              <w:left w:val="nil"/>
              <w:bottom w:val="nil"/>
              <w:right w:val="nil"/>
            </w:tcBorders>
          </w:tcPr>
          <w:p w:rsidR="00DF26C1" w:rsidRDefault="00DF26C1" w:rsidP="007B6DBD">
            <w:pPr>
              <w:pStyle w:val="TableParagraph"/>
              <w:kinsoku w:val="0"/>
              <w:overflowPunct w:val="0"/>
              <w:spacing w:before="11"/>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spacing w:before="11"/>
              <w:ind w:left="86"/>
            </w:pPr>
            <w:r>
              <w:rPr>
                <w:rFonts w:ascii="Arial" w:hAnsi="Arial" w:cs="Arial"/>
                <w:w w:val="105"/>
                <w:sz w:val="9"/>
                <w:szCs w:val="9"/>
              </w:rPr>
              <w:t>3; 5</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11"/>
              <w:ind w:left="31"/>
            </w:pPr>
            <w:r>
              <w:rPr>
                <w:rFonts w:ascii="Arial" w:hAnsi="Arial" w:cs="Arial"/>
                <w:w w:val="105"/>
                <w:sz w:val="9"/>
                <w:szCs w:val="9"/>
              </w:rPr>
              <w:t>61,60</w:t>
            </w:r>
          </w:p>
        </w:tc>
        <w:tc>
          <w:tcPr>
            <w:tcW w:w="293" w:type="dxa"/>
            <w:tcBorders>
              <w:top w:val="nil"/>
              <w:left w:val="nil"/>
              <w:bottom w:val="nil"/>
              <w:right w:val="nil"/>
            </w:tcBorders>
          </w:tcPr>
          <w:p w:rsidR="00DF26C1" w:rsidRDefault="00DF26C1" w:rsidP="007B6DBD">
            <w:pPr>
              <w:pStyle w:val="TableParagraph"/>
              <w:kinsoku w:val="0"/>
              <w:overflowPunct w:val="0"/>
              <w:spacing w:before="11"/>
              <w:ind w:left="83"/>
            </w:pPr>
            <w:r>
              <w:rPr>
                <w:rFonts w:ascii="Arial" w:hAnsi="Arial" w:cs="Arial"/>
                <w:w w:val="105"/>
                <w:sz w:val="9"/>
                <w:szCs w:val="9"/>
              </w:rPr>
              <w:t>0,39</w:t>
            </w:r>
          </w:p>
        </w:tc>
        <w:tc>
          <w:tcPr>
            <w:tcW w:w="308" w:type="dxa"/>
            <w:tcBorders>
              <w:top w:val="nil"/>
              <w:left w:val="nil"/>
              <w:bottom w:val="nil"/>
              <w:right w:val="nil"/>
            </w:tcBorders>
          </w:tcPr>
          <w:p w:rsidR="00DF26C1" w:rsidRDefault="00DF26C1" w:rsidP="007B6DBD">
            <w:pPr>
              <w:pStyle w:val="TableParagraph"/>
              <w:kinsoku w:val="0"/>
              <w:overflowPunct w:val="0"/>
              <w:spacing w:before="11"/>
              <w:ind w:left="57"/>
            </w:pPr>
            <w:r>
              <w:rPr>
                <w:rFonts w:ascii="Arial" w:hAnsi="Arial" w:cs="Arial"/>
                <w:w w:val="105"/>
                <w:sz w:val="9"/>
                <w:szCs w:val="9"/>
              </w:rPr>
              <w:t>18,20</w:t>
            </w:r>
          </w:p>
        </w:tc>
        <w:tc>
          <w:tcPr>
            <w:tcW w:w="353" w:type="dxa"/>
            <w:tcBorders>
              <w:top w:val="nil"/>
              <w:left w:val="nil"/>
              <w:bottom w:val="nil"/>
              <w:right w:val="nil"/>
            </w:tcBorders>
          </w:tcPr>
          <w:p w:rsidR="00DF26C1" w:rsidRDefault="00DF26C1" w:rsidP="007B6DBD">
            <w:pPr>
              <w:pStyle w:val="TableParagraph"/>
              <w:kinsoku w:val="0"/>
              <w:overflowPunct w:val="0"/>
              <w:spacing w:before="11"/>
              <w:ind w:left="140"/>
            </w:pPr>
            <w:r>
              <w:rPr>
                <w:rFonts w:ascii="Arial" w:hAnsi="Arial" w:cs="Arial"/>
                <w:w w:val="105"/>
                <w:sz w:val="9"/>
                <w:szCs w:val="9"/>
              </w:rPr>
              <w:t>4,45</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11"/>
              <w:ind w:left="28"/>
            </w:pPr>
            <w:r>
              <w:rPr>
                <w:rFonts w:ascii="Arial" w:hAnsi="Arial" w:cs="Arial"/>
                <w:w w:val="105"/>
                <w:sz w:val="9"/>
                <w:szCs w:val="9"/>
              </w:rPr>
              <w:t>0,10</w:t>
            </w:r>
          </w:p>
        </w:tc>
        <w:tc>
          <w:tcPr>
            <w:tcW w:w="269" w:type="dxa"/>
            <w:tcBorders>
              <w:top w:val="nil"/>
              <w:left w:val="nil"/>
              <w:bottom w:val="nil"/>
              <w:right w:val="nil"/>
            </w:tcBorders>
          </w:tcPr>
          <w:p w:rsidR="00DF26C1" w:rsidRDefault="00DF26C1" w:rsidP="007B6DBD">
            <w:pPr>
              <w:pStyle w:val="TableParagraph"/>
              <w:kinsoku w:val="0"/>
              <w:overflowPunct w:val="0"/>
              <w:spacing w:before="11"/>
              <w:ind w:left="54"/>
            </w:pPr>
            <w:r>
              <w:rPr>
                <w:rFonts w:ascii="Arial" w:hAnsi="Arial" w:cs="Arial"/>
                <w:w w:val="105"/>
                <w:sz w:val="9"/>
                <w:szCs w:val="9"/>
              </w:rPr>
              <w:t>1,70</w:t>
            </w:r>
          </w:p>
        </w:tc>
        <w:tc>
          <w:tcPr>
            <w:tcW w:w="261" w:type="dxa"/>
            <w:tcBorders>
              <w:top w:val="nil"/>
              <w:left w:val="nil"/>
              <w:bottom w:val="nil"/>
              <w:right w:val="nil"/>
            </w:tcBorders>
          </w:tcPr>
          <w:p w:rsidR="00DF26C1" w:rsidRDefault="00DF26C1" w:rsidP="007B6DBD">
            <w:pPr>
              <w:pStyle w:val="TableParagraph"/>
              <w:kinsoku w:val="0"/>
              <w:overflowPunct w:val="0"/>
              <w:spacing w:before="11"/>
              <w:ind w:left="56"/>
            </w:pPr>
            <w:r>
              <w:rPr>
                <w:rFonts w:ascii="Arial" w:hAnsi="Arial" w:cs="Arial"/>
                <w:w w:val="105"/>
                <w:sz w:val="9"/>
                <w:szCs w:val="9"/>
              </w:rPr>
              <w:t>4,10</w:t>
            </w:r>
          </w:p>
        </w:tc>
        <w:tc>
          <w:tcPr>
            <w:tcW w:w="278" w:type="dxa"/>
            <w:tcBorders>
              <w:top w:val="nil"/>
              <w:left w:val="nil"/>
              <w:bottom w:val="nil"/>
              <w:right w:val="nil"/>
            </w:tcBorders>
          </w:tcPr>
          <w:p w:rsidR="00DF26C1" w:rsidRDefault="00DF26C1" w:rsidP="007B6DBD">
            <w:pPr>
              <w:pStyle w:val="TableParagraph"/>
              <w:kinsoku w:val="0"/>
              <w:overflowPunct w:val="0"/>
              <w:spacing w:before="11"/>
              <w:ind w:left="54"/>
            </w:pPr>
            <w:r>
              <w:rPr>
                <w:rFonts w:ascii="Arial" w:hAnsi="Arial" w:cs="Arial"/>
                <w:w w:val="105"/>
                <w:sz w:val="9"/>
                <w:szCs w:val="9"/>
              </w:rPr>
              <w:t>4,45</w:t>
            </w:r>
          </w:p>
        </w:tc>
        <w:tc>
          <w:tcPr>
            <w:tcW w:w="237" w:type="dxa"/>
            <w:tcBorders>
              <w:top w:val="nil"/>
              <w:left w:val="nil"/>
              <w:bottom w:val="nil"/>
              <w:right w:val="nil"/>
            </w:tcBorders>
          </w:tcPr>
          <w:p w:rsidR="00DF26C1" w:rsidRDefault="00DF26C1" w:rsidP="007B6DBD">
            <w:pPr>
              <w:pStyle w:val="TableParagraph"/>
              <w:kinsoku w:val="0"/>
              <w:overflowPunct w:val="0"/>
              <w:spacing w:before="11"/>
              <w:ind w:left="26"/>
            </w:pPr>
            <w:r>
              <w:rPr>
                <w:rFonts w:ascii="Arial" w:hAnsi="Arial" w:cs="Arial"/>
                <w:w w:val="105"/>
                <w:sz w:val="9"/>
                <w:szCs w:val="9"/>
              </w:rPr>
              <w:t>1,71</w:t>
            </w:r>
          </w:p>
        </w:tc>
        <w:tc>
          <w:tcPr>
            <w:tcW w:w="296" w:type="dxa"/>
            <w:tcBorders>
              <w:top w:val="nil"/>
              <w:left w:val="nil"/>
              <w:bottom w:val="nil"/>
              <w:right w:val="nil"/>
            </w:tcBorders>
          </w:tcPr>
          <w:p w:rsidR="00DF26C1" w:rsidRDefault="00DF26C1" w:rsidP="007B6DBD">
            <w:pPr>
              <w:pStyle w:val="TableParagraph"/>
              <w:kinsoku w:val="0"/>
              <w:overflowPunct w:val="0"/>
              <w:spacing w:before="11"/>
              <w:ind w:left="81"/>
            </w:pPr>
            <w:r>
              <w:rPr>
                <w:rFonts w:ascii="Arial" w:hAnsi="Arial" w:cs="Arial"/>
                <w:w w:val="105"/>
                <w:sz w:val="9"/>
                <w:szCs w:val="9"/>
              </w:rPr>
              <w:t>0,17</w:t>
            </w:r>
          </w:p>
        </w:tc>
        <w:tc>
          <w:tcPr>
            <w:tcW w:w="274" w:type="dxa"/>
            <w:tcBorders>
              <w:top w:val="nil"/>
              <w:left w:val="nil"/>
              <w:bottom w:val="nil"/>
              <w:right w:val="nil"/>
            </w:tcBorders>
          </w:tcPr>
          <w:p w:rsidR="00DF26C1" w:rsidRDefault="00DF26C1" w:rsidP="007B6DBD">
            <w:pPr>
              <w:pStyle w:val="TableParagraph"/>
              <w:kinsoku w:val="0"/>
              <w:overflowPunct w:val="0"/>
              <w:spacing w:before="11"/>
              <w:ind w:left="64"/>
            </w:pPr>
            <w:r>
              <w:rPr>
                <w:rFonts w:ascii="Arial" w:hAnsi="Arial" w:cs="Arial"/>
                <w:w w:val="105"/>
                <w:sz w:val="9"/>
                <w:szCs w:val="9"/>
              </w:rPr>
              <w:t>2,95</w:t>
            </w:r>
          </w:p>
        </w:tc>
        <w:tc>
          <w:tcPr>
            <w:tcW w:w="350" w:type="dxa"/>
            <w:tcBorders>
              <w:top w:val="nil"/>
              <w:left w:val="nil"/>
              <w:bottom w:val="nil"/>
              <w:right w:val="nil"/>
            </w:tcBorders>
          </w:tcPr>
          <w:p w:rsidR="00DF26C1" w:rsidRDefault="00DF26C1" w:rsidP="007B6DBD">
            <w:pPr>
              <w:pStyle w:val="TableParagraph"/>
              <w:kinsoku w:val="0"/>
              <w:overflowPunct w:val="0"/>
              <w:spacing w:before="11"/>
              <w:ind w:left="83"/>
            </w:pPr>
            <w:r>
              <w:rPr>
                <w:rFonts w:ascii="Arial" w:hAnsi="Arial" w:cs="Arial"/>
                <w:w w:val="105"/>
                <w:sz w:val="9"/>
                <w:szCs w:val="9"/>
              </w:rPr>
              <w:t>99,82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11"/>
              <w:ind w:left="86"/>
            </w:pPr>
            <w:r>
              <w:rPr>
                <w:rFonts w:ascii="Arial" w:hAnsi="Arial" w:cs="Arial"/>
                <w:w w:val="105"/>
                <w:sz w:val="9"/>
                <w:szCs w:val="9"/>
              </w:rPr>
              <w:t>53</w:t>
            </w:r>
          </w:p>
        </w:tc>
        <w:tc>
          <w:tcPr>
            <w:tcW w:w="253" w:type="dxa"/>
            <w:tcBorders>
              <w:top w:val="nil"/>
              <w:left w:val="nil"/>
              <w:bottom w:val="nil"/>
              <w:right w:val="nil"/>
            </w:tcBorders>
          </w:tcPr>
          <w:p w:rsidR="00DF26C1" w:rsidRDefault="00DF26C1" w:rsidP="007B6DBD">
            <w:pPr>
              <w:pStyle w:val="TableParagraph"/>
              <w:kinsoku w:val="0"/>
              <w:overflowPunct w:val="0"/>
              <w:spacing w:before="11"/>
              <w:ind w:left="70"/>
            </w:pPr>
            <w:r>
              <w:rPr>
                <w:rFonts w:ascii="Arial" w:hAnsi="Arial" w:cs="Arial"/>
                <w:w w:val="105"/>
                <w:sz w:val="9"/>
                <w:szCs w:val="9"/>
              </w:rPr>
              <w:t>335</w:t>
            </w:r>
          </w:p>
        </w:tc>
        <w:tc>
          <w:tcPr>
            <w:tcW w:w="245" w:type="dxa"/>
            <w:tcBorders>
              <w:top w:val="nil"/>
              <w:left w:val="nil"/>
              <w:bottom w:val="nil"/>
              <w:right w:val="nil"/>
            </w:tcBorders>
          </w:tcPr>
          <w:p w:rsidR="00DF26C1" w:rsidRDefault="00DF26C1" w:rsidP="007B6DBD">
            <w:pPr>
              <w:pStyle w:val="TableParagraph"/>
              <w:kinsoku w:val="0"/>
              <w:overflowPunct w:val="0"/>
              <w:spacing w:before="11"/>
              <w:ind w:left="88"/>
            </w:pPr>
            <w:r>
              <w:rPr>
                <w:rFonts w:ascii="Arial" w:hAnsi="Arial" w:cs="Arial"/>
                <w:w w:val="105"/>
                <w:sz w:val="9"/>
                <w:szCs w:val="9"/>
              </w:rPr>
              <w:t>7,8</w:t>
            </w:r>
          </w:p>
        </w:tc>
        <w:tc>
          <w:tcPr>
            <w:tcW w:w="259" w:type="dxa"/>
            <w:tcBorders>
              <w:top w:val="nil"/>
              <w:left w:val="nil"/>
              <w:bottom w:val="nil"/>
              <w:right w:val="nil"/>
            </w:tcBorders>
          </w:tcPr>
          <w:p w:rsidR="00DF26C1" w:rsidRDefault="00DF26C1" w:rsidP="007B6DBD">
            <w:pPr>
              <w:pStyle w:val="TableParagraph"/>
              <w:kinsoku w:val="0"/>
              <w:overflowPunct w:val="0"/>
              <w:spacing w:before="11"/>
              <w:ind w:left="129"/>
            </w:pPr>
            <w:r>
              <w:rPr>
                <w:rFonts w:ascii="Arial" w:hAnsi="Arial" w:cs="Arial"/>
                <w:w w:val="105"/>
                <w:sz w:val="9"/>
                <w:szCs w:val="9"/>
              </w:rPr>
              <w:t>39</w:t>
            </w:r>
          </w:p>
        </w:tc>
        <w:tc>
          <w:tcPr>
            <w:tcW w:w="223" w:type="dxa"/>
            <w:tcBorders>
              <w:top w:val="nil"/>
              <w:left w:val="nil"/>
              <w:bottom w:val="nil"/>
              <w:right w:val="nil"/>
            </w:tcBorders>
          </w:tcPr>
          <w:p w:rsidR="00DF26C1" w:rsidRDefault="00DF26C1" w:rsidP="007B6DBD">
            <w:pPr>
              <w:pStyle w:val="TableParagraph"/>
              <w:kinsoku w:val="0"/>
              <w:overflowPunct w:val="0"/>
              <w:spacing w:before="11"/>
              <w:ind w:left="63"/>
            </w:pPr>
            <w:r>
              <w:rPr>
                <w:rFonts w:ascii="Arial" w:hAnsi="Arial" w:cs="Arial"/>
                <w:w w:val="105"/>
                <w:sz w:val="9"/>
                <w:szCs w:val="9"/>
              </w:rPr>
              <w:t>12</w:t>
            </w:r>
          </w:p>
        </w:tc>
        <w:tc>
          <w:tcPr>
            <w:tcW w:w="281" w:type="dxa"/>
            <w:tcBorders>
              <w:top w:val="nil"/>
              <w:left w:val="nil"/>
              <w:bottom w:val="nil"/>
              <w:right w:val="nil"/>
            </w:tcBorders>
          </w:tcPr>
          <w:p w:rsidR="00DF26C1" w:rsidRDefault="00DF26C1" w:rsidP="007B6DBD">
            <w:pPr>
              <w:pStyle w:val="TableParagraph"/>
              <w:kinsoku w:val="0"/>
              <w:overflowPunct w:val="0"/>
              <w:spacing w:before="11"/>
              <w:ind w:left="99"/>
            </w:pPr>
            <w:r>
              <w:rPr>
                <w:rFonts w:ascii="Arial" w:hAnsi="Arial" w:cs="Arial"/>
                <w:w w:val="105"/>
                <w:sz w:val="9"/>
                <w:szCs w:val="9"/>
              </w:rPr>
              <w:t>630</w:t>
            </w:r>
          </w:p>
        </w:tc>
        <w:tc>
          <w:tcPr>
            <w:tcW w:w="231" w:type="dxa"/>
            <w:tcBorders>
              <w:top w:val="nil"/>
              <w:left w:val="nil"/>
              <w:bottom w:val="nil"/>
              <w:right w:val="nil"/>
            </w:tcBorders>
          </w:tcPr>
          <w:p w:rsidR="00DF26C1" w:rsidRDefault="00DF26C1" w:rsidP="007B6DBD">
            <w:pPr>
              <w:pStyle w:val="TableParagraph"/>
              <w:kinsoku w:val="0"/>
              <w:overflowPunct w:val="0"/>
              <w:spacing w:before="11"/>
              <w:ind w:left="75"/>
            </w:pPr>
            <w:r>
              <w:rPr>
                <w:rFonts w:ascii="Arial" w:hAnsi="Arial" w:cs="Arial"/>
                <w:w w:val="105"/>
                <w:sz w:val="9"/>
                <w:szCs w:val="9"/>
              </w:rPr>
              <w:t>2,4</w:t>
            </w:r>
          </w:p>
        </w:tc>
        <w:tc>
          <w:tcPr>
            <w:tcW w:w="255" w:type="dxa"/>
            <w:tcBorders>
              <w:top w:val="nil"/>
              <w:left w:val="nil"/>
              <w:bottom w:val="nil"/>
              <w:right w:val="nil"/>
            </w:tcBorders>
          </w:tcPr>
          <w:p w:rsidR="00DF26C1" w:rsidRDefault="00DF26C1" w:rsidP="007B6DBD">
            <w:pPr>
              <w:pStyle w:val="TableParagraph"/>
              <w:kinsoku w:val="0"/>
              <w:overflowPunct w:val="0"/>
              <w:spacing w:before="11"/>
              <w:ind w:left="107"/>
            </w:pPr>
            <w:r>
              <w:rPr>
                <w:rFonts w:ascii="Arial" w:hAnsi="Arial" w:cs="Arial"/>
                <w:w w:val="105"/>
                <w:sz w:val="9"/>
                <w:szCs w:val="9"/>
              </w:rPr>
              <w:t>15</w:t>
            </w:r>
          </w:p>
        </w:tc>
        <w:tc>
          <w:tcPr>
            <w:tcW w:w="302" w:type="dxa"/>
            <w:tcBorders>
              <w:top w:val="nil"/>
              <w:left w:val="nil"/>
              <w:bottom w:val="nil"/>
              <w:right w:val="nil"/>
            </w:tcBorders>
          </w:tcPr>
          <w:p w:rsidR="00DF26C1" w:rsidRDefault="00DF26C1" w:rsidP="007B6DBD">
            <w:pPr>
              <w:pStyle w:val="TableParagraph"/>
              <w:kinsoku w:val="0"/>
              <w:overflowPunct w:val="0"/>
              <w:spacing w:before="11"/>
              <w:ind w:left="172"/>
            </w:pPr>
            <w:r>
              <w:rPr>
                <w:rFonts w:ascii="Arial" w:hAnsi="Arial" w:cs="Arial"/>
                <w:w w:val="105"/>
                <w:sz w:val="9"/>
                <w:szCs w:val="9"/>
              </w:rPr>
              <w:t>26</w:t>
            </w:r>
          </w:p>
        </w:tc>
        <w:tc>
          <w:tcPr>
            <w:tcW w:w="259" w:type="dxa"/>
            <w:tcBorders>
              <w:top w:val="nil"/>
              <w:left w:val="nil"/>
              <w:bottom w:val="nil"/>
              <w:right w:val="nil"/>
            </w:tcBorders>
          </w:tcPr>
          <w:p w:rsidR="00DF26C1" w:rsidRDefault="00DF26C1" w:rsidP="007B6DBD">
            <w:pPr>
              <w:pStyle w:val="TableParagraph"/>
              <w:kinsoku w:val="0"/>
              <w:overflowPunct w:val="0"/>
              <w:spacing w:before="11"/>
              <w:ind w:left="49"/>
            </w:pPr>
            <w:r>
              <w:rPr>
                <w:rFonts w:ascii="Arial" w:hAnsi="Arial" w:cs="Arial"/>
                <w:w w:val="105"/>
                <w:sz w:val="9"/>
                <w:szCs w:val="9"/>
              </w:rPr>
              <w:t>11,4</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11"/>
              <w:ind w:left="93"/>
            </w:pPr>
            <w:r>
              <w:rPr>
                <w:rFonts w:ascii="Arial" w:hAnsi="Arial" w:cs="Arial"/>
                <w:w w:val="105"/>
                <w:sz w:val="9"/>
                <w:szCs w:val="9"/>
              </w:rPr>
              <w:t>0,7</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11"/>
              <w:ind w:left="75"/>
            </w:pPr>
            <w:r>
              <w:rPr>
                <w:rFonts w:ascii="Arial" w:hAnsi="Arial" w:cs="Arial"/>
                <w:w w:val="105"/>
                <w:sz w:val="9"/>
                <w:szCs w:val="9"/>
              </w:rPr>
              <w:t>1,4</w:t>
            </w:r>
          </w:p>
        </w:tc>
        <w:tc>
          <w:tcPr>
            <w:tcW w:w="264" w:type="dxa"/>
            <w:tcBorders>
              <w:top w:val="nil"/>
              <w:left w:val="nil"/>
              <w:bottom w:val="nil"/>
              <w:right w:val="nil"/>
            </w:tcBorders>
          </w:tcPr>
          <w:p w:rsidR="00DF26C1" w:rsidRDefault="00DF26C1" w:rsidP="007B6DBD">
            <w:pPr>
              <w:pStyle w:val="TableParagraph"/>
              <w:kinsoku w:val="0"/>
              <w:overflowPunct w:val="0"/>
              <w:spacing w:before="11"/>
              <w:ind w:left="54"/>
            </w:pPr>
            <w:r>
              <w:rPr>
                <w:rFonts w:ascii="Arial" w:hAnsi="Arial" w:cs="Arial"/>
                <w:w w:val="105"/>
                <w:sz w:val="9"/>
                <w:szCs w:val="9"/>
              </w:rPr>
              <w:t>0,57</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0"/>
        </w:trPr>
        <w:tc>
          <w:tcPr>
            <w:tcW w:w="921" w:type="dxa"/>
            <w:tcBorders>
              <w:top w:val="nil"/>
              <w:left w:val="nil"/>
              <w:bottom w:val="nil"/>
              <w:right w:val="nil"/>
            </w:tcBorders>
          </w:tcPr>
          <w:p w:rsidR="00DF26C1" w:rsidRDefault="00DF26C1" w:rsidP="007B6DBD">
            <w:pPr>
              <w:pStyle w:val="TableParagraph"/>
              <w:kinsoku w:val="0"/>
              <w:overflowPunct w:val="0"/>
              <w:spacing w:before="5"/>
              <w:ind w:left="23"/>
            </w:pPr>
            <w:r>
              <w:rPr>
                <w:rFonts w:ascii="Arial" w:hAnsi="Arial" w:cs="Arial"/>
                <w:w w:val="105"/>
                <w:sz w:val="9"/>
                <w:szCs w:val="9"/>
              </w:rPr>
              <w:t>";</w:t>
            </w:r>
            <w:r>
              <w:rPr>
                <w:rFonts w:ascii="Arial" w:hAnsi="Arial" w:cs="Arial"/>
                <w:spacing w:val="24"/>
                <w:w w:val="105"/>
                <w:sz w:val="9"/>
                <w:szCs w:val="9"/>
              </w:rPr>
              <w:t xml:space="preserve"> </w:t>
            </w:r>
            <w:r>
              <w:rPr>
                <w:rFonts w:ascii="Arial" w:hAnsi="Arial" w:cs="Arial"/>
                <w:w w:val="105"/>
                <w:sz w:val="9"/>
                <w:szCs w:val="9"/>
              </w:rPr>
              <w:t>Esterel</w:t>
            </w:r>
          </w:p>
        </w:tc>
        <w:tc>
          <w:tcPr>
            <w:tcW w:w="503" w:type="dxa"/>
            <w:tcBorders>
              <w:top w:val="nil"/>
              <w:left w:val="nil"/>
              <w:bottom w:val="nil"/>
              <w:right w:val="nil"/>
            </w:tcBorders>
          </w:tcPr>
          <w:p w:rsidR="00DF26C1" w:rsidRDefault="00DF26C1" w:rsidP="007B6DBD">
            <w:pPr>
              <w:pStyle w:val="TableParagraph"/>
              <w:kinsoku w:val="0"/>
              <w:overflowPunct w:val="0"/>
              <w:spacing w:before="5"/>
              <w:ind w:left="18"/>
              <w:jc w:val="center"/>
            </w:pPr>
            <w:r>
              <w:rPr>
                <w:rFonts w:ascii="Arial" w:hAnsi="Arial" w:cs="Arial"/>
                <w:w w:val="106"/>
                <w:sz w:val="9"/>
                <w:szCs w:val="9"/>
              </w:rPr>
              <w:t>3</w:t>
            </w:r>
          </w:p>
        </w:tc>
        <w:tc>
          <w:tcPr>
            <w:tcW w:w="624" w:type="dxa"/>
            <w:tcBorders>
              <w:top w:val="nil"/>
              <w:left w:val="nil"/>
              <w:bottom w:val="nil"/>
              <w:right w:val="nil"/>
            </w:tcBorders>
          </w:tcPr>
          <w:p w:rsidR="00DF26C1" w:rsidRDefault="00DF26C1" w:rsidP="007B6DBD">
            <w:pPr>
              <w:pStyle w:val="TableParagraph"/>
              <w:kinsoku w:val="0"/>
              <w:overflowPunct w:val="0"/>
              <w:spacing w:before="5"/>
              <w:ind w:left="16"/>
            </w:pPr>
            <w:r>
              <w:rPr>
                <w:rFonts w:ascii="Arial" w:hAnsi="Arial" w:cs="Arial"/>
                <w:w w:val="105"/>
                <w:sz w:val="9"/>
                <w:szCs w:val="9"/>
              </w:rPr>
              <w:t>dacite</w:t>
            </w:r>
          </w:p>
        </w:tc>
        <w:tc>
          <w:tcPr>
            <w:tcW w:w="559" w:type="dxa"/>
            <w:tcBorders>
              <w:top w:val="nil"/>
              <w:left w:val="nil"/>
              <w:bottom w:val="nil"/>
              <w:right w:val="nil"/>
            </w:tcBorders>
          </w:tcPr>
          <w:p w:rsidR="00DF26C1" w:rsidRDefault="00DF26C1" w:rsidP="007B6DBD">
            <w:pPr>
              <w:pStyle w:val="TableParagraph"/>
              <w:kinsoku w:val="0"/>
              <w:overflowPunct w:val="0"/>
              <w:spacing w:before="5"/>
              <w:ind w:left="45"/>
            </w:pPr>
            <w:r>
              <w:rPr>
                <w:rFonts w:ascii="Arial" w:hAnsi="Arial" w:cs="Arial"/>
                <w:w w:val="105"/>
                <w:sz w:val="9"/>
                <w:szCs w:val="9"/>
              </w:rPr>
              <w:t>subvolcanic</w:t>
            </w:r>
          </w:p>
        </w:tc>
        <w:tc>
          <w:tcPr>
            <w:tcW w:w="503" w:type="dxa"/>
            <w:tcBorders>
              <w:top w:val="nil"/>
              <w:left w:val="nil"/>
              <w:bottom w:val="nil"/>
              <w:right w:val="nil"/>
            </w:tcBorders>
          </w:tcPr>
          <w:p w:rsidR="00DF26C1" w:rsidRDefault="00DF26C1" w:rsidP="007B6DBD">
            <w:pPr>
              <w:pStyle w:val="TableParagraph"/>
              <w:kinsoku w:val="0"/>
              <w:overflowPunct w:val="0"/>
              <w:spacing w:before="5"/>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5"/>
              <w:ind w:left="6"/>
            </w:pPr>
            <w:r>
              <w:rPr>
                <w:rFonts w:ascii="Arial" w:hAnsi="Arial" w:cs="Arial"/>
                <w:w w:val="105"/>
                <w:sz w:val="9"/>
                <w:szCs w:val="9"/>
              </w:rPr>
              <w:t>Est</w:t>
            </w:r>
            <w:r>
              <w:rPr>
                <w:rFonts w:ascii="Arial" w:hAnsi="Arial" w:cs="Arial"/>
                <w:spacing w:val="-2"/>
                <w:w w:val="105"/>
                <w:sz w:val="9"/>
                <w:szCs w:val="9"/>
              </w:rPr>
              <w:t xml:space="preserve"> </w:t>
            </w:r>
            <w:r>
              <w:rPr>
                <w:rFonts w:ascii="Arial" w:hAnsi="Arial" w:cs="Arial"/>
                <w:w w:val="105"/>
                <w:sz w:val="9"/>
                <w:szCs w:val="9"/>
              </w:rPr>
              <w:t>96-2</w:t>
            </w:r>
          </w:p>
        </w:tc>
        <w:tc>
          <w:tcPr>
            <w:tcW w:w="437" w:type="dxa"/>
            <w:tcBorders>
              <w:top w:val="nil"/>
              <w:left w:val="nil"/>
              <w:bottom w:val="nil"/>
              <w:right w:val="nil"/>
            </w:tcBorders>
          </w:tcPr>
          <w:p w:rsidR="00DF26C1" w:rsidRDefault="00DF26C1" w:rsidP="007B6DBD">
            <w:pPr>
              <w:pStyle w:val="TableParagraph"/>
              <w:kinsoku w:val="0"/>
              <w:overflowPunct w:val="0"/>
              <w:spacing w:before="5"/>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spacing w:before="5"/>
              <w:ind w:left="86"/>
            </w:pPr>
            <w:r>
              <w:rPr>
                <w:rFonts w:ascii="Arial" w:hAnsi="Arial" w:cs="Arial"/>
                <w:w w:val="105"/>
                <w:sz w:val="9"/>
                <w:szCs w:val="9"/>
              </w:rPr>
              <w:t>3; 5</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5"/>
              <w:ind w:left="31"/>
            </w:pPr>
            <w:r>
              <w:rPr>
                <w:rFonts w:ascii="Arial" w:hAnsi="Arial" w:cs="Arial"/>
                <w:w w:val="105"/>
                <w:sz w:val="9"/>
                <w:szCs w:val="9"/>
              </w:rPr>
              <w:t>63,00</w:t>
            </w:r>
          </w:p>
        </w:tc>
        <w:tc>
          <w:tcPr>
            <w:tcW w:w="293" w:type="dxa"/>
            <w:tcBorders>
              <w:top w:val="nil"/>
              <w:left w:val="nil"/>
              <w:bottom w:val="nil"/>
              <w:right w:val="nil"/>
            </w:tcBorders>
          </w:tcPr>
          <w:p w:rsidR="00DF26C1" w:rsidRDefault="00DF26C1" w:rsidP="007B6DBD">
            <w:pPr>
              <w:pStyle w:val="TableParagraph"/>
              <w:kinsoku w:val="0"/>
              <w:overflowPunct w:val="0"/>
              <w:spacing w:before="5"/>
              <w:ind w:left="83"/>
            </w:pPr>
            <w:r>
              <w:rPr>
                <w:rFonts w:ascii="Arial" w:hAnsi="Arial" w:cs="Arial"/>
                <w:w w:val="105"/>
                <w:sz w:val="9"/>
                <w:szCs w:val="9"/>
              </w:rPr>
              <w:t>0,43</w:t>
            </w:r>
          </w:p>
        </w:tc>
        <w:tc>
          <w:tcPr>
            <w:tcW w:w="308" w:type="dxa"/>
            <w:tcBorders>
              <w:top w:val="nil"/>
              <w:left w:val="nil"/>
              <w:bottom w:val="nil"/>
              <w:right w:val="nil"/>
            </w:tcBorders>
          </w:tcPr>
          <w:p w:rsidR="00DF26C1" w:rsidRDefault="00DF26C1" w:rsidP="007B6DBD">
            <w:pPr>
              <w:pStyle w:val="TableParagraph"/>
              <w:kinsoku w:val="0"/>
              <w:overflowPunct w:val="0"/>
              <w:spacing w:before="5"/>
              <w:ind w:left="57"/>
            </w:pPr>
            <w:r>
              <w:rPr>
                <w:rFonts w:ascii="Arial" w:hAnsi="Arial" w:cs="Arial"/>
                <w:w w:val="105"/>
                <w:sz w:val="9"/>
                <w:szCs w:val="9"/>
              </w:rPr>
              <w:t>18,00</w:t>
            </w:r>
          </w:p>
        </w:tc>
        <w:tc>
          <w:tcPr>
            <w:tcW w:w="353" w:type="dxa"/>
            <w:tcBorders>
              <w:top w:val="nil"/>
              <w:left w:val="nil"/>
              <w:bottom w:val="nil"/>
              <w:right w:val="nil"/>
            </w:tcBorders>
          </w:tcPr>
          <w:p w:rsidR="00DF26C1" w:rsidRDefault="00DF26C1" w:rsidP="007B6DBD">
            <w:pPr>
              <w:pStyle w:val="TableParagraph"/>
              <w:kinsoku w:val="0"/>
              <w:overflowPunct w:val="0"/>
              <w:spacing w:before="5"/>
              <w:ind w:left="140"/>
            </w:pPr>
            <w:r>
              <w:rPr>
                <w:rFonts w:ascii="Arial" w:hAnsi="Arial" w:cs="Arial"/>
                <w:w w:val="105"/>
                <w:sz w:val="9"/>
                <w:szCs w:val="9"/>
              </w:rPr>
              <w:t>4,25</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5"/>
              <w:ind w:left="28"/>
            </w:pPr>
            <w:r>
              <w:rPr>
                <w:rFonts w:ascii="Arial" w:hAnsi="Arial" w:cs="Arial"/>
                <w:w w:val="105"/>
                <w:sz w:val="9"/>
                <w:szCs w:val="9"/>
              </w:rPr>
              <w:t>0,19</w:t>
            </w:r>
          </w:p>
        </w:tc>
        <w:tc>
          <w:tcPr>
            <w:tcW w:w="269" w:type="dxa"/>
            <w:tcBorders>
              <w:top w:val="nil"/>
              <w:left w:val="nil"/>
              <w:bottom w:val="nil"/>
              <w:right w:val="nil"/>
            </w:tcBorders>
          </w:tcPr>
          <w:p w:rsidR="00DF26C1" w:rsidRDefault="00DF26C1" w:rsidP="007B6DBD">
            <w:pPr>
              <w:pStyle w:val="TableParagraph"/>
              <w:kinsoku w:val="0"/>
              <w:overflowPunct w:val="0"/>
              <w:spacing w:before="5"/>
              <w:ind w:left="54"/>
            </w:pPr>
            <w:r>
              <w:rPr>
                <w:rFonts w:ascii="Arial" w:hAnsi="Arial" w:cs="Arial"/>
                <w:w w:val="105"/>
                <w:sz w:val="9"/>
                <w:szCs w:val="9"/>
              </w:rPr>
              <w:t>1,69</w:t>
            </w:r>
          </w:p>
        </w:tc>
        <w:tc>
          <w:tcPr>
            <w:tcW w:w="261" w:type="dxa"/>
            <w:tcBorders>
              <w:top w:val="nil"/>
              <w:left w:val="nil"/>
              <w:bottom w:val="nil"/>
              <w:right w:val="nil"/>
            </w:tcBorders>
          </w:tcPr>
          <w:p w:rsidR="00DF26C1" w:rsidRDefault="00DF26C1" w:rsidP="007B6DBD">
            <w:pPr>
              <w:pStyle w:val="TableParagraph"/>
              <w:kinsoku w:val="0"/>
              <w:overflowPunct w:val="0"/>
              <w:spacing w:before="5"/>
              <w:ind w:left="56"/>
            </w:pPr>
            <w:r>
              <w:rPr>
                <w:rFonts w:ascii="Arial" w:hAnsi="Arial" w:cs="Arial"/>
                <w:w w:val="105"/>
                <w:sz w:val="9"/>
                <w:szCs w:val="9"/>
              </w:rPr>
              <w:t>5,01</w:t>
            </w:r>
          </w:p>
        </w:tc>
        <w:tc>
          <w:tcPr>
            <w:tcW w:w="278" w:type="dxa"/>
            <w:tcBorders>
              <w:top w:val="nil"/>
              <w:left w:val="nil"/>
              <w:bottom w:val="nil"/>
              <w:right w:val="nil"/>
            </w:tcBorders>
          </w:tcPr>
          <w:p w:rsidR="00DF26C1" w:rsidRDefault="00DF26C1" w:rsidP="007B6DBD">
            <w:pPr>
              <w:pStyle w:val="TableParagraph"/>
              <w:kinsoku w:val="0"/>
              <w:overflowPunct w:val="0"/>
              <w:spacing w:before="5"/>
              <w:ind w:left="54"/>
            </w:pPr>
            <w:r>
              <w:rPr>
                <w:rFonts w:ascii="Arial" w:hAnsi="Arial" w:cs="Arial"/>
                <w:w w:val="105"/>
                <w:sz w:val="9"/>
                <w:szCs w:val="9"/>
              </w:rPr>
              <w:t>4,75</w:t>
            </w:r>
          </w:p>
        </w:tc>
        <w:tc>
          <w:tcPr>
            <w:tcW w:w="237" w:type="dxa"/>
            <w:tcBorders>
              <w:top w:val="nil"/>
              <w:left w:val="nil"/>
              <w:bottom w:val="nil"/>
              <w:right w:val="nil"/>
            </w:tcBorders>
          </w:tcPr>
          <w:p w:rsidR="00DF26C1" w:rsidRDefault="00DF26C1" w:rsidP="007B6DBD">
            <w:pPr>
              <w:pStyle w:val="TableParagraph"/>
              <w:kinsoku w:val="0"/>
              <w:overflowPunct w:val="0"/>
              <w:spacing w:before="5"/>
              <w:ind w:left="26"/>
            </w:pPr>
            <w:r>
              <w:rPr>
                <w:rFonts w:ascii="Arial" w:hAnsi="Arial" w:cs="Arial"/>
                <w:w w:val="105"/>
                <w:sz w:val="9"/>
                <w:szCs w:val="9"/>
              </w:rPr>
              <w:t>1,21</w:t>
            </w:r>
          </w:p>
        </w:tc>
        <w:tc>
          <w:tcPr>
            <w:tcW w:w="296" w:type="dxa"/>
            <w:tcBorders>
              <w:top w:val="nil"/>
              <w:left w:val="nil"/>
              <w:bottom w:val="nil"/>
              <w:right w:val="nil"/>
            </w:tcBorders>
          </w:tcPr>
          <w:p w:rsidR="00DF26C1" w:rsidRDefault="00DF26C1" w:rsidP="007B6DBD">
            <w:pPr>
              <w:pStyle w:val="TableParagraph"/>
              <w:kinsoku w:val="0"/>
              <w:overflowPunct w:val="0"/>
              <w:spacing w:before="5"/>
              <w:ind w:left="81"/>
            </w:pPr>
            <w:r>
              <w:rPr>
                <w:rFonts w:ascii="Arial" w:hAnsi="Arial" w:cs="Arial"/>
                <w:w w:val="105"/>
                <w:sz w:val="9"/>
                <w:szCs w:val="9"/>
              </w:rPr>
              <w:t>0,19</w:t>
            </w:r>
          </w:p>
        </w:tc>
        <w:tc>
          <w:tcPr>
            <w:tcW w:w="274" w:type="dxa"/>
            <w:tcBorders>
              <w:top w:val="nil"/>
              <w:left w:val="nil"/>
              <w:bottom w:val="nil"/>
              <w:right w:val="nil"/>
            </w:tcBorders>
          </w:tcPr>
          <w:p w:rsidR="00DF26C1" w:rsidRDefault="00DF26C1" w:rsidP="007B6DBD">
            <w:pPr>
              <w:pStyle w:val="TableParagraph"/>
              <w:kinsoku w:val="0"/>
              <w:overflowPunct w:val="0"/>
              <w:spacing w:before="5"/>
              <w:ind w:left="64"/>
            </w:pPr>
            <w:r>
              <w:rPr>
                <w:rFonts w:ascii="Arial" w:hAnsi="Arial" w:cs="Arial"/>
                <w:w w:val="105"/>
                <w:sz w:val="9"/>
                <w:szCs w:val="9"/>
              </w:rPr>
              <w:t>1,49</w:t>
            </w:r>
          </w:p>
        </w:tc>
        <w:tc>
          <w:tcPr>
            <w:tcW w:w="350" w:type="dxa"/>
            <w:tcBorders>
              <w:top w:val="nil"/>
              <w:left w:val="nil"/>
              <w:bottom w:val="nil"/>
              <w:right w:val="nil"/>
            </w:tcBorders>
          </w:tcPr>
          <w:p w:rsidR="00DF26C1" w:rsidRDefault="00DF26C1" w:rsidP="007B6DBD">
            <w:pPr>
              <w:pStyle w:val="TableParagraph"/>
              <w:kinsoku w:val="0"/>
              <w:overflowPunct w:val="0"/>
              <w:spacing w:before="5"/>
              <w:ind w:left="30"/>
            </w:pPr>
            <w:r>
              <w:rPr>
                <w:rFonts w:ascii="Arial" w:hAnsi="Arial" w:cs="Arial"/>
                <w:w w:val="105"/>
                <w:sz w:val="9"/>
                <w:szCs w:val="9"/>
              </w:rPr>
              <w:t>100,20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5"/>
              <w:ind w:left="86"/>
            </w:pPr>
            <w:r>
              <w:rPr>
                <w:rFonts w:ascii="Arial" w:hAnsi="Arial" w:cs="Arial"/>
                <w:w w:val="105"/>
                <w:sz w:val="9"/>
                <w:szCs w:val="9"/>
              </w:rPr>
              <w:t>37</w:t>
            </w:r>
          </w:p>
        </w:tc>
        <w:tc>
          <w:tcPr>
            <w:tcW w:w="253" w:type="dxa"/>
            <w:tcBorders>
              <w:top w:val="nil"/>
              <w:left w:val="nil"/>
              <w:bottom w:val="nil"/>
              <w:right w:val="nil"/>
            </w:tcBorders>
          </w:tcPr>
          <w:p w:rsidR="00DF26C1" w:rsidRDefault="00DF26C1" w:rsidP="007B6DBD">
            <w:pPr>
              <w:pStyle w:val="TableParagraph"/>
              <w:kinsoku w:val="0"/>
              <w:overflowPunct w:val="0"/>
              <w:spacing w:before="5"/>
              <w:ind w:left="70"/>
            </w:pPr>
            <w:r>
              <w:rPr>
                <w:rFonts w:ascii="Arial" w:hAnsi="Arial" w:cs="Arial"/>
                <w:w w:val="105"/>
                <w:sz w:val="9"/>
                <w:szCs w:val="9"/>
              </w:rPr>
              <w:t>350</w:t>
            </w:r>
          </w:p>
        </w:tc>
        <w:tc>
          <w:tcPr>
            <w:tcW w:w="245" w:type="dxa"/>
            <w:tcBorders>
              <w:top w:val="nil"/>
              <w:left w:val="nil"/>
              <w:bottom w:val="nil"/>
              <w:right w:val="nil"/>
            </w:tcBorders>
          </w:tcPr>
          <w:p w:rsidR="00DF26C1" w:rsidRDefault="00DF26C1" w:rsidP="007B6DBD">
            <w:pPr>
              <w:pStyle w:val="TableParagraph"/>
              <w:kinsoku w:val="0"/>
              <w:overflowPunct w:val="0"/>
              <w:spacing w:before="5"/>
              <w:ind w:left="88"/>
            </w:pPr>
            <w:r>
              <w:rPr>
                <w:rFonts w:ascii="Arial" w:hAnsi="Arial" w:cs="Arial"/>
                <w:w w:val="105"/>
                <w:sz w:val="9"/>
                <w:szCs w:val="9"/>
              </w:rPr>
              <w:t>8,2</w:t>
            </w:r>
          </w:p>
        </w:tc>
        <w:tc>
          <w:tcPr>
            <w:tcW w:w="259" w:type="dxa"/>
            <w:tcBorders>
              <w:top w:val="nil"/>
              <w:left w:val="nil"/>
              <w:bottom w:val="nil"/>
              <w:right w:val="nil"/>
            </w:tcBorders>
          </w:tcPr>
          <w:p w:rsidR="00DF26C1" w:rsidRDefault="00DF26C1" w:rsidP="007B6DBD">
            <w:pPr>
              <w:pStyle w:val="TableParagraph"/>
              <w:kinsoku w:val="0"/>
              <w:overflowPunct w:val="0"/>
              <w:spacing w:before="5"/>
              <w:ind w:left="129"/>
            </w:pPr>
            <w:r>
              <w:rPr>
                <w:rFonts w:ascii="Arial" w:hAnsi="Arial" w:cs="Arial"/>
                <w:w w:val="105"/>
                <w:sz w:val="9"/>
                <w:szCs w:val="9"/>
              </w:rPr>
              <w:t>54</w:t>
            </w:r>
          </w:p>
        </w:tc>
        <w:tc>
          <w:tcPr>
            <w:tcW w:w="223" w:type="dxa"/>
            <w:tcBorders>
              <w:top w:val="nil"/>
              <w:left w:val="nil"/>
              <w:bottom w:val="nil"/>
              <w:right w:val="nil"/>
            </w:tcBorders>
          </w:tcPr>
          <w:p w:rsidR="00DF26C1" w:rsidRDefault="00DF26C1" w:rsidP="007B6DBD">
            <w:pPr>
              <w:pStyle w:val="TableParagraph"/>
              <w:kinsoku w:val="0"/>
              <w:overflowPunct w:val="0"/>
              <w:spacing w:before="5"/>
              <w:ind w:left="63"/>
            </w:pPr>
            <w:r>
              <w:rPr>
                <w:rFonts w:ascii="Arial" w:hAnsi="Arial" w:cs="Arial"/>
                <w:w w:val="105"/>
                <w:sz w:val="9"/>
                <w:szCs w:val="9"/>
              </w:rPr>
              <w:t>14</w:t>
            </w:r>
          </w:p>
        </w:tc>
        <w:tc>
          <w:tcPr>
            <w:tcW w:w="281" w:type="dxa"/>
            <w:tcBorders>
              <w:top w:val="nil"/>
              <w:left w:val="nil"/>
              <w:bottom w:val="nil"/>
              <w:right w:val="nil"/>
            </w:tcBorders>
          </w:tcPr>
          <w:p w:rsidR="00DF26C1" w:rsidRDefault="00DF26C1" w:rsidP="007B6DBD">
            <w:pPr>
              <w:pStyle w:val="TableParagraph"/>
              <w:kinsoku w:val="0"/>
              <w:overflowPunct w:val="0"/>
              <w:spacing w:before="5"/>
              <w:ind w:left="99"/>
            </w:pPr>
            <w:r>
              <w:rPr>
                <w:rFonts w:ascii="Arial" w:hAnsi="Arial" w:cs="Arial"/>
                <w:w w:val="105"/>
                <w:sz w:val="9"/>
                <w:szCs w:val="9"/>
              </w:rPr>
              <w:t>472</w:t>
            </w:r>
          </w:p>
        </w:tc>
        <w:tc>
          <w:tcPr>
            <w:tcW w:w="231" w:type="dxa"/>
            <w:tcBorders>
              <w:top w:val="nil"/>
              <w:left w:val="nil"/>
              <w:bottom w:val="nil"/>
              <w:right w:val="nil"/>
            </w:tcBorders>
          </w:tcPr>
          <w:p w:rsidR="00DF26C1" w:rsidRDefault="00DF26C1" w:rsidP="007B6DBD">
            <w:pPr>
              <w:pStyle w:val="TableParagraph"/>
              <w:kinsoku w:val="0"/>
              <w:overflowPunct w:val="0"/>
              <w:spacing w:before="5"/>
              <w:ind w:left="75"/>
            </w:pPr>
            <w:r>
              <w:rPr>
                <w:rFonts w:ascii="Arial" w:hAnsi="Arial" w:cs="Arial"/>
                <w:w w:val="105"/>
                <w:sz w:val="9"/>
                <w:szCs w:val="9"/>
              </w:rPr>
              <w:t>2,4</w:t>
            </w:r>
          </w:p>
        </w:tc>
        <w:tc>
          <w:tcPr>
            <w:tcW w:w="255" w:type="dxa"/>
            <w:tcBorders>
              <w:top w:val="nil"/>
              <w:left w:val="nil"/>
              <w:bottom w:val="nil"/>
              <w:right w:val="nil"/>
            </w:tcBorders>
          </w:tcPr>
          <w:p w:rsidR="00DF26C1" w:rsidRDefault="00DF26C1" w:rsidP="007B6DBD">
            <w:pPr>
              <w:pStyle w:val="TableParagraph"/>
              <w:kinsoku w:val="0"/>
              <w:overflowPunct w:val="0"/>
              <w:spacing w:before="5"/>
              <w:ind w:left="107"/>
            </w:pPr>
            <w:r>
              <w:rPr>
                <w:rFonts w:ascii="Arial" w:hAnsi="Arial" w:cs="Arial"/>
                <w:w w:val="105"/>
                <w:sz w:val="9"/>
                <w:szCs w:val="9"/>
              </w:rPr>
              <w:t>16</w:t>
            </w:r>
          </w:p>
        </w:tc>
        <w:tc>
          <w:tcPr>
            <w:tcW w:w="302" w:type="dxa"/>
            <w:tcBorders>
              <w:top w:val="nil"/>
              <w:left w:val="nil"/>
              <w:bottom w:val="nil"/>
              <w:right w:val="nil"/>
            </w:tcBorders>
          </w:tcPr>
          <w:p w:rsidR="00DF26C1" w:rsidRDefault="00DF26C1" w:rsidP="007B6DBD">
            <w:pPr>
              <w:pStyle w:val="TableParagraph"/>
              <w:kinsoku w:val="0"/>
              <w:overflowPunct w:val="0"/>
              <w:spacing w:before="5"/>
              <w:ind w:left="172"/>
            </w:pPr>
            <w:r>
              <w:rPr>
                <w:rFonts w:ascii="Arial" w:hAnsi="Arial" w:cs="Arial"/>
                <w:w w:val="105"/>
                <w:sz w:val="9"/>
                <w:szCs w:val="9"/>
              </w:rPr>
              <w:t>30</w:t>
            </w:r>
          </w:p>
        </w:tc>
        <w:tc>
          <w:tcPr>
            <w:tcW w:w="259" w:type="dxa"/>
            <w:tcBorders>
              <w:top w:val="nil"/>
              <w:left w:val="nil"/>
              <w:bottom w:val="nil"/>
              <w:right w:val="nil"/>
            </w:tcBorders>
          </w:tcPr>
          <w:p w:rsidR="00DF26C1" w:rsidRDefault="00DF26C1" w:rsidP="007B6DBD">
            <w:pPr>
              <w:pStyle w:val="TableParagraph"/>
              <w:kinsoku w:val="0"/>
              <w:overflowPunct w:val="0"/>
              <w:spacing w:before="5"/>
              <w:ind w:left="129"/>
            </w:pPr>
            <w:r>
              <w:rPr>
                <w:rFonts w:ascii="Arial" w:hAnsi="Arial" w:cs="Arial"/>
                <w:w w:val="105"/>
                <w:sz w:val="9"/>
                <w:szCs w:val="9"/>
              </w:rPr>
              <w:t>13</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5"/>
              <w:ind w:left="93"/>
            </w:pPr>
            <w:r>
              <w:rPr>
                <w:rFonts w:ascii="Arial" w:hAnsi="Arial" w:cs="Arial"/>
                <w:w w:val="105"/>
                <w:sz w:val="9"/>
                <w:szCs w:val="9"/>
              </w:rPr>
              <w:t>0,8</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5"/>
              <w:ind w:left="75"/>
            </w:pPr>
            <w:r>
              <w:rPr>
                <w:rFonts w:ascii="Arial" w:hAnsi="Arial" w:cs="Arial"/>
                <w:w w:val="105"/>
                <w:sz w:val="9"/>
                <w:szCs w:val="9"/>
              </w:rPr>
              <w:t>1,4</w:t>
            </w:r>
          </w:p>
        </w:tc>
        <w:tc>
          <w:tcPr>
            <w:tcW w:w="264" w:type="dxa"/>
            <w:tcBorders>
              <w:top w:val="nil"/>
              <w:left w:val="nil"/>
              <w:bottom w:val="nil"/>
              <w:right w:val="nil"/>
            </w:tcBorders>
          </w:tcPr>
          <w:p w:rsidR="00DF26C1" w:rsidRDefault="00DF26C1" w:rsidP="007B6DBD">
            <w:pPr>
              <w:pStyle w:val="TableParagraph"/>
              <w:kinsoku w:val="0"/>
              <w:overflowPunct w:val="0"/>
              <w:spacing w:before="5"/>
              <w:ind w:left="54"/>
            </w:pPr>
            <w:r>
              <w:rPr>
                <w:rFonts w:ascii="Arial" w:hAnsi="Arial" w:cs="Arial"/>
                <w:w w:val="105"/>
                <w:sz w:val="9"/>
                <w:szCs w:val="9"/>
              </w:rPr>
              <w:t>0,51</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9"/>
        </w:trPr>
        <w:tc>
          <w:tcPr>
            <w:tcW w:w="921" w:type="dxa"/>
            <w:tcBorders>
              <w:top w:val="nil"/>
              <w:left w:val="nil"/>
              <w:bottom w:val="nil"/>
              <w:right w:val="nil"/>
            </w:tcBorders>
          </w:tcPr>
          <w:p w:rsidR="00DF26C1" w:rsidRDefault="00DF26C1" w:rsidP="007B6DBD">
            <w:pPr>
              <w:pStyle w:val="TableParagraph"/>
              <w:kinsoku w:val="0"/>
              <w:overflowPunct w:val="0"/>
              <w:spacing w:before="5"/>
              <w:ind w:left="23"/>
            </w:pPr>
            <w:r>
              <w:rPr>
                <w:rFonts w:ascii="Arial" w:hAnsi="Arial" w:cs="Arial"/>
                <w:w w:val="105"/>
                <w:sz w:val="9"/>
                <w:szCs w:val="9"/>
              </w:rPr>
              <w:t>";  Agay</w:t>
            </w:r>
          </w:p>
        </w:tc>
        <w:tc>
          <w:tcPr>
            <w:tcW w:w="503" w:type="dxa"/>
            <w:tcBorders>
              <w:top w:val="nil"/>
              <w:left w:val="nil"/>
              <w:bottom w:val="nil"/>
              <w:right w:val="nil"/>
            </w:tcBorders>
          </w:tcPr>
          <w:p w:rsidR="00DF26C1" w:rsidRDefault="00DF26C1" w:rsidP="007B6DBD">
            <w:pPr>
              <w:pStyle w:val="TableParagraph"/>
              <w:kinsoku w:val="0"/>
              <w:overflowPunct w:val="0"/>
              <w:spacing w:before="5"/>
              <w:ind w:left="18"/>
              <w:jc w:val="center"/>
            </w:pPr>
            <w:r>
              <w:rPr>
                <w:rFonts w:ascii="Arial" w:hAnsi="Arial" w:cs="Arial"/>
                <w:w w:val="106"/>
                <w:sz w:val="9"/>
                <w:szCs w:val="9"/>
              </w:rPr>
              <w:t>3</w:t>
            </w:r>
          </w:p>
        </w:tc>
        <w:tc>
          <w:tcPr>
            <w:tcW w:w="624" w:type="dxa"/>
            <w:tcBorders>
              <w:top w:val="nil"/>
              <w:left w:val="nil"/>
              <w:bottom w:val="nil"/>
              <w:right w:val="nil"/>
            </w:tcBorders>
          </w:tcPr>
          <w:p w:rsidR="00DF26C1" w:rsidRDefault="00DF26C1" w:rsidP="007B6DBD">
            <w:pPr>
              <w:pStyle w:val="TableParagraph"/>
              <w:kinsoku w:val="0"/>
              <w:overflowPunct w:val="0"/>
              <w:spacing w:before="5"/>
              <w:ind w:left="16"/>
            </w:pPr>
            <w:r>
              <w:rPr>
                <w:rFonts w:ascii="Arial" w:hAnsi="Arial" w:cs="Arial"/>
                <w:w w:val="105"/>
                <w:sz w:val="9"/>
                <w:szCs w:val="9"/>
              </w:rPr>
              <w:t>dacite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5"/>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5"/>
              <w:ind w:left="6"/>
            </w:pPr>
            <w:r>
              <w:rPr>
                <w:rFonts w:ascii="Arial" w:hAnsi="Arial" w:cs="Arial"/>
                <w:w w:val="105"/>
                <w:sz w:val="9"/>
                <w:szCs w:val="9"/>
              </w:rPr>
              <w:t>PR4</w:t>
            </w:r>
          </w:p>
        </w:tc>
        <w:tc>
          <w:tcPr>
            <w:tcW w:w="437" w:type="dxa"/>
            <w:tcBorders>
              <w:top w:val="nil"/>
              <w:left w:val="nil"/>
              <w:bottom w:val="nil"/>
              <w:right w:val="nil"/>
            </w:tcBorders>
          </w:tcPr>
          <w:p w:rsidR="00DF26C1" w:rsidRDefault="00DF26C1" w:rsidP="007B6DBD">
            <w:pPr>
              <w:pStyle w:val="TableParagraph"/>
              <w:kinsoku w:val="0"/>
              <w:overflowPunct w:val="0"/>
              <w:spacing w:before="5"/>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spacing w:before="5"/>
              <w:ind w:left="10"/>
              <w:jc w:val="center"/>
            </w:pPr>
            <w:r>
              <w:rPr>
                <w:rFonts w:ascii="Arial" w:hAnsi="Arial" w:cs="Arial"/>
                <w:w w:val="106"/>
                <w:sz w:val="9"/>
                <w:szCs w:val="9"/>
              </w:rPr>
              <w:t>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5"/>
              <w:ind w:left="31"/>
            </w:pPr>
            <w:r>
              <w:rPr>
                <w:rFonts w:ascii="Arial" w:hAnsi="Arial" w:cs="Arial"/>
                <w:w w:val="105"/>
                <w:sz w:val="9"/>
                <w:szCs w:val="9"/>
              </w:rPr>
              <w:t>64,67</w:t>
            </w:r>
          </w:p>
        </w:tc>
        <w:tc>
          <w:tcPr>
            <w:tcW w:w="293" w:type="dxa"/>
            <w:tcBorders>
              <w:top w:val="nil"/>
              <w:left w:val="nil"/>
              <w:bottom w:val="nil"/>
              <w:right w:val="nil"/>
            </w:tcBorders>
          </w:tcPr>
          <w:p w:rsidR="00DF26C1" w:rsidRDefault="00DF26C1" w:rsidP="007B6DBD">
            <w:pPr>
              <w:pStyle w:val="TableParagraph"/>
              <w:kinsoku w:val="0"/>
              <w:overflowPunct w:val="0"/>
              <w:spacing w:before="5"/>
              <w:ind w:left="83"/>
            </w:pPr>
            <w:r>
              <w:rPr>
                <w:rFonts w:ascii="Arial" w:hAnsi="Arial" w:cs="Arial"/>
                <w:w w:val="105"/>
                <w:sz w:val="9"/>
                <w:szCs w:val="9"/>
              </w:rPr>
              <w:t>0,44</w:t>
            </w:r>
          </w:p>
        </w:tc>
        <w:tc>
          <w:tcPr>
            <w:tcW w:w="308" w:type="dxa"/>
            <w:tcBorders>
              <w:top w:val="nil"/>
              <w:left w:val="nil"/>
              <w:bottom w:val="nil"/>
              <w:right w:val="nil"/>
            </w:tcBorders>
          </w:tcPr>
          <w:p w:rsidR="00DF26C1" w:rsidRDefault="00DF26C1" w:rsidP="007B6DBD">
            <w:pPr>
              <w:pStyle w:val="TableParagraph"/>
              <w:kinsoku w:val="0"/>
              <w:overflowPunct w:val="0"/>
              <w:spacing w:before="5"/>
              <w:ind w:left="57"/>
            </w:pPr>
            <w:r>
              <w:rPr>
                <w:rFonts w:ascii="Arial" w:hAnsi="Arial" w:cs="Arial"/>
                <w:w w:val="105"/>
                <w:sz w:val="9"/>
                <w:szCs w:val="9"/>
              </w:rPr>
              <w:t>17,56</w:t>
            </w:r>
          </w:p>
        </w:tc>
        <w:tc>
          <w:tcPr>
            <w:tcW w:w="353" w:type="dxa"/>
            <w:tcBorders>
              <w:top w:val="nil"/>
              <w:left w:val="nil"/>
              <w:bottom w:val="nil"/>
              <w:right w:val="nil"/>
            </w:tcBorders>
          </w:tcPr>
          <w:p w:rsidR="00DF26C1" w:rsidRDefault="00DF26C1" w:rsidP="007B6DBD">
            <w:pPr>
              <w:pStyle w:val="TableParagraph"/>
              <w:kinsoku w:val="0"/>
              <w:overflowPunct w:val="0"/>
              <w:spacing w:before="5"/>
              <w:ind w:left="140"/>
            </w:pPr>
            <w:r>
              <w:rPr>
                <w:rFonts w:ascii="Arial" w:hAnsi="Arial" w:cs="Arial"/>
                <w:w w:val="105"/>
                <w:sz w:val="9"/>
                <w:szCs w:val="9"/>
              </w:rPr>
              <w:t>0,50</w:t>
            </w:r>
          </w:p>
        </w:tc>
        <w:tc>
          <w:tcPr>
            <w:tcW w:w="234" w:type="dxa"/>
            <w:tcBorders>
              <w:top w:val="nil"/>
              <w:left w:val="nil"/>
              <w:bottom w:val="nil"/>
              <w:right w:val="nil"/>
            </w:tcBorders>
          </w:tcPr>
          <w:p w:rsidR="00DF26C1" w:rsidRDefault="00DF26C1" w:rsidP="007B6DBD">
            <w:pPr>
              <w:pStyle w:val="TableParagraph"/>
              <w:kinsoku w:val="0"/>
              <w:overflowPunct w:val="0"/>
              <w:spacing w:before="5"/>
              <w:ind w:left="17"/>
            </w:pPr>
            <w:r>
              <w:rPr>
                <w:rFonts w:ascii="Arial" w:hAnsi="Arial" w:cs="Arial"/>
                <w:w w:val="105"/>
                <w:sz w:val="9"/>
                <w:szCs w:val="9"/>
              </w:rPr>
              <w:t>2,99</w:t>
            </w:r>
          </w:p>
        </w:tc>
        <w:tc>
          <w:tcPr>
            <w:tcW w:w="224" w:type="dxa"/>
            <w:tcBorders>
              <w:top w:val="nil"/>
              <w:left w:val="nil"/>
              <w:bottom w:val="nil"/>
              <w:right w:val="nil"/>
            </w:tcBorders>
          </w:tcPr>
          <w:p w:rsidR="00DF26C1" w:rsidRDefault="00DF26C1" w:rsidP="007B6DBD">
            <w:pPr>
              <w:pStyle w:val="TableParagraph"/>
              <w:kinsoku w:val="0"/>
              <w:overflowPunct w:val="0"/>
              <w:spacing w:before="5"/>
              <w:ind w:left="28"/>
            </w:pPr>
            <w:r>
              <w:rPr>
                <w:rFonts w:ascii="Arial" w:hAnsi="Arial" w:cs="Arial"/>
                <w:w w:val="105"/>
                <w:sz w:val="9"/>
                <w:szCs w:val="9"/>
              </w:rPr>
              <w:t>0,11</w:t>
            </w:r>
          </w:p>
        </w:tc>
        <w:tc>
          <w:tcPr>
            <w:tcW w:w="269" w:type="dxa"/>
            <w:tcBorders>
              <w:top w:val="nil"/>
              <w:left w:val="nil"/>
              <w:bottom w:val="nil"/>
              <w:right w:val="nil"/>
            </w:tcBorders>
          </w:tcPr>
          <w:p w:rsidR="00DF26C1" w:rsidRDefault="00DF26C1" w:rsidP="007B6DBD">
            <w:pPr>
              <w:pStyle w:val="TableParagraph"/>
              <w:kinsoku w:val="0"/>
              <w:overflowPunct w:val="0"/>
              <w:spacing w:before="5"/>
              <w:ind w:left="54"/>
            </w:pPr>
            <w:r>
              <w:rPr>
                <w:rFonts w:ascii="Arial" w:hAnsi="Arial" w:cs="Arial"/>
                <w:w w:val="105"/>
                <w:sz w:val="9"/>
                <w:szCs w:val="9"/>
              </w:rPr>
              <w:t>2,12</w:t>
            </w:r>
          </w:p>
        </w:tc>
        <w:tc>
          <w:tcPr>
            <w:tcW w:w="261" w:type="dxa"/>
            <w:tcBorders>
              <w:top w:val="nil"/>
              <w:left w:val="nil"/>
              <w:bottom w:val="nil"/>
              <w:right w:val="nil"/>
            </w:tcBorders>
          </w:tcPr>
          <w:p w:rsidR="00DF26C1" w:rsidRDefault="00DF26C1" w:rsidP="007B6DBD">
            <w:pPr>
              <w:pStyle w:val="TableParagraph"/>
              <w:kinsoku w:val="0"/>
              <w:overflowPunct w:val="0"/>
              <w:spacing w:before="5"/>
              <w:ind w:left="56"/>
            </w:pPr>
            <w:r>
              <w:rPr>
                <w:rFonts w:ascii="Arial" w:hAnsi="Arial" w:cs="Arial"/>
                <w:w w:val="105"/>
                <w:sz w:val="9"/>
                <w:szCs w:val="9"/>
              </w:rPr>
              <w:t>5,06</w:t>
            </w:r>
          </w:p>
        </w:tc>
        <w:tc>
          <w:tcPr>
            <w:tcW w:w="278" w:type="dxa"/>
            <w:tcBorders>
              <w:top w:val="nil"/>
              <w:left w:val="nil"/>
              <w:bottom w:val="nil"/>
              <w:right w:val="nil"/>
            </w:tcBorders>
          </w:tcPr>
          <w:p w:rsidR="00DF26C1" w:rsidRDefault="00DF26C1" w:rsidP="007B6DBD">
            <w:pPr>
              <w:pStyle w:val="TableParagraph"/>
              <w:kinsoku w:val="0"/>
              <w:overflowPunct w:val="0"/>
              <w:spacing w:before="5"/>
              <w:ind w:left="54"/>
            </w:pPr>
            <w:r>
              <w:rPr>
                <w:rFonts w:ascii="Arial" w:hAnsi="Arial" w:cs="Arial"/>
                <w:w w:val="105"/>
                <w:sz w:val="9"/>
                <w:szCs w:val="9"/>
              </w:rPr>
              <w:t>5,02</w:t>
            </w:r>
          </w:p>
        </w:tc>
        <w:tc>
          <w:tcPr>
            <w:tcW w:w="237" w:type="dxa"/>
            <w:tcBorders>
              <w:top w:val="nil"/>
              <w:left w:val="nil"/>
              <w:bottom w:val="nil"/>
              <w:right w:val="nil"/>
            </w:tcBorders>
          </w:tcPr>
          <w:p w:rsidR="00DF26C1" w:rsidRDefault="00DF26C1" w:rsidP="007B6DBD">
            <w:pPr>
              <w:pStyle w:val="TableParagraph"/>
              <w:kinsoku w:val="0"/>
              <w:overflowPunct w:val="0"/>
              <w:spacing w:before="5"/>
              <w:ind w:left="26"/>
            </w:pPr>
            <w:r>
              <w:rPr>
                <w:rFonts w:ascii="Arial" w:hAnsi="Arial" w:cs="Arial"/>
                <w:w w:val="105"/>
                <w:sz w:val="9"/>
                <w:szCs w:val="9"/>
              </w:rPr>
              <w:t>1,28</w:t>
            </w:r>
          </w:p>
        </w:tc>
        <w:tc>
          <w:tcPr>
            <w:tcW w:w="296" w:type="dxa"/>
            <w:tcBorders>
              <w:top w:val="nil"/>
              <w:left w:val="nil"/>
              <w:bottom w:val="nil"/>
              <w:right w:val="nil"/>
            </w:tcBorders>
          </w:tcPr>
          <w:p w:rsidR="00DF26C1" w:rsidRDefault="00DF26C1" w:rsidP="007B6DBD">
            <w:pPr>
              <w:pStyle w:val="TableParagraph"/>
              <w:kinsoku w:val="0"/>
              <w:overflowPunct w:val="0"/>
              <w:spacing w:before="5"/>
              <w:ind w:left="81"/>
            </w:pPr>
            <w:r>
              <w:rPr>
                <w:rFonts w:ascii="Arial" w:hAnsi="Arial" w:cs="Arial"/>
                <w:w w:val="105"/>
                <w:sz w:val="9"/>
                <w:szCs w:val="9"/>
              </w:rPr>
              <w:t>0,24</w:t>
            </w:r>
          </w:p>
        </w:tc>
        <w:tc>
          <w:tcPr>
            <w:tcW w:w="274" w:type="dxa"/>
            <w:tcBorders>
              <w:top w:val="nil"/>
              <w:left w:val="nil"/>
              <w:bottom w:val="nil"/>
              <w:right w:val="nil"/>
            </w:tcBorders>
          </w:tcPr>
          <w:p w:rsidR="00DF26C1" w:rsidRDefault="00DF26C1" w:rsidP="007B6DBD">
            <w:pPr>
              <w:pStyle w:val="TableParagraph"/>
              <w:kinsoku w:val="0"/>
              <w:overflowPunct w:val="0"/>
              <w:spacing w:before="5"/>
              <w:ind w:left="64"/>
            </w:pPr>
            <w:r>
              <w:rPr>
                <w:rFonts w:ascii="Arial" w:hAnsi="Arial" w:cs="Arial"/>
                <w:w w:val="105"/>
                <w:sz w:val="9"/>
                <w:szCs w:val="9"/>
              </w:rPr>
              <w:t>1,81</w:t>
            </w:r>
          </w:p>
        </w:tc>
        <w:tc>
          <w:tcPr>
            <w:tcW w:w="350" w:type="dxa"/>
            <w:tcBorders>
              <w:top w:val="nil"/>
              <w:left w:val="nil"/>
              <w:bottom w:val="nil"/>
              <w:right w:val="nil"/>
            </w:tcBorders>
          </w:tcPr>
          <w:p w:rsidR="00DF26C1" w:rsidRDefault="00DF26C1" w:rsidP="007B6DBD">
            <w:pPr>
              <w:pStyle w:val="TableParagraph"/>
              <w:kinsoku w:val="0"/>
              <w:overflowPunct w:val="0"/>
              <w:spacing w:before="5"/>
              <w:ind w:left="30"/>
            </w:pPr>
            <w:r>
              <w:rPr>
                <w:rFonts w:ascii="Arial" w:hAnsi="Arial" w:cs="Arial"/>
                <w:w w:val="105"/>
                <w:sz w:val="9"/>
                <w:szCs w:val="9"/>
              </w:rPr>
              <w:t>101,80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5"/>
              <w:ind w:left="86"/>
            </w:pPr>
            <w:r>
              <w:rPr>
                <w:rFonts w:ascii="Arial" w:hAnsi="Arial" w:cs="Arial"/>
                <w:w w:val="105"/>
                <w:sz w:val="9"/>
                <w:szCs w:val="9"/>
              </w:rPr>
              <w:t>46</w:t>
            </w:r>
          </w:p>
        </w:tc>
        <w:tc>
          <w:tcPr>
            <w:tcW w:w="253" w:type="dxa"/>
            <w:tcBorders>
              <w:top w:val="nil"/>
              <w:left w:val="nil"/>
              <w:bottom w:val="nil"/>
              <w:right w:val="nil"/>
            </w:tcBorders>
          </w:tcPr>
          <w:p w:rsidR="00DF26C1" w:rsidRDefault="00DF26C1" w:rsidP="007B6DBD">
            <w:pPr>
              <w:pStyle w:val="TableParagraph"/>
              <w:kinsoku w:val="0"/>
              <w:overflowPunct w:val="0"/>
              <w:spacing w:before="5"/>
              <w:ind w:left="70"/>
            </w:pPr>
            <w:r>
              <w:rPr>
                <w:rFonts w:ascii="Arial" w:hAnsi="Arial" w:cs="Arial"/>
                <w:w w:val="105"/>
                <w:sz w:val="9"/>
                <w:szCs w:val="9"/>
              </w:rPr>
              <w:t>383</w:t>
            </w:r>
          </w:p>
        </w:tc>
        <w:tc>
          <w:tcPr>
            <w:tcW w:w="245" w:type="dxa"/>
            <w:tcBorders>
              <w:top w:val="nil"/>
              <w:left w:val="nil"/>
              <w:bottom w:val="nil"/>
              <w:right w:val="nil"/>
            </w:tcBorders>
          </w:tcPr>
          <w:p w:rsidR="00DF26C1" w:rsidRDefault="00DF26C1" w:rsidP="007B6DBD">
            <w:pPr>
              <w:pStyle w:val="TableParagraph"/>
              <w:kinsoku w:val="0"/>
              <w:overflowPunct w:val="0"/>
              <w:spacing w:before="5"/>
              <w:ind w:right="21"/>
              <w:jc w:val="right"/>
            </w:pPr>
            <w:r>
              <w:rPr>
                <w:rFonts w:ascii="Arial" w:hAnsi="Arial" w:cs="Arial"/>
                <w:w w:val="106"/>
                <w:sz w:val="9"/>
                <w:szCs w:val="9"/>
              </w:rPr>
              <w:t>7</w:t>
            </w:r>
          </w:p>
        </w:tc>
        <w:tc>
          <w:tcPr>
            <w:tcW w:w="259" w:type="dxa"/>
            <w:tcBorders>
              <w:top w:val="nil"/>
              <w:left w:val="nil"/>
              <w:bottom w:val="nil"/>
              <w:right w:val="nil"/>
            </w:tcBorders>
          </w:tcPr>
          <w:p w:rsidR="00DF26C1" w:rsidRDefault="00DF26C1" w:rsidP="007B6DBD">
            <w:pPr>
              <w:pStyle w:val="TableParagraph"/>
              <w:kinsoku w:val="0"/>
              <w:overflowPunct w:val="0"/>
              <w:spacing w:before="5"/>
              <w:ind w:left="129"/>
            </w:pPr>
            <w:r>
              <w:rPr>
                <w:rFonts w:ascii="Arial" w:hAnsi="Arial" w:cs="Arial"/>
                <w:w w:val="105"/>
                <w:sz w:val="9"/>
                <w:szCs w:val="9"/>
              </w:rPr>
              <w:t>68</w:t>
            </w:r>
          </w:p>
        </w:tc>
        <w:tc>
          <w:tcPr>
            <w:tcW w:w="223" w:type="dxa"/>
            <w:tcBorders>
              <w:top w:val="nil"/>
              <w:left w:val="nil"/>
              <w:bottom w:val="nil"/>
              <w:right w:val="nil"/>
            </w:tcBorders>
          </w:tcPr>
          <w:p w:rsidR="00DF26C1" w:rsidRDefault="00DF26C1" w:rsidP="007B6DBD">
            <w:pPr>
              <w:pStyle w:val="TableParagraph"/>
              <w:kinsoku w:val="0"/>
              <w:overflowPunct w:val="0"/>
              <w:spacing w:before="5"/>
              <w:ind w:left="63"/>
            </w:pPr>
            <w:r>
              <w:rPr>
                <w:rFonts w:ascii="Arial" w:hAnsi="Arial" w:cs="Arial"/>
                <w:w w:val="105"/>
                <w:sz w:val="9"/>
                <w:szCs w:val="9"/>
              </w:rPr>
              <w:t>21</w:t>
            </w:r>
          </w:p>
        </w:tc>
        <w:tc>
          <w:tcPr>
            <w:tcW w:w="281" w:type="dxa"/>
            <w:tcBorders>
              <w:top w:val="nil"/>
              <w:left w:val="nil"/>
              <w:bottom w:val="nil"/>
              <w:right w:val="nil"/>
            </w:tcBorders>
          </w:tcPr>
          <w:p w:rsidR="00DF26C1" w:rsidRDefault="00DF26C1" w:rsidP="007B6DBD">
            <w:pPr>
              <w:pStyle w:val="TableParagraph"/>
              <w:kinsoku w:val="0"/>
              <w:overflowPunct w:val="0"/>
              <w:spacing w:before="5"/>
              <w:ind w:left="99"/>
            </w:pPr>
            <w:r>
              <w:rPr>
                <w:rFonts w:ascii="Arial" w:hAnsi="Arial" w:cs="Arial"/>
                <w:w w:val="105"/>
                <w:sz w:val="9"/>
                <w:szCs w:val="9"/>
              </w:rPr>
              <w:t>501</w:t>
            </w:r>
          </w:p>
        </w:tc>
        <w:tc>
          <w:tcPr>
            <w:tcW w:w="231" w:type="dxa"/>
            <w:tcBorders>
              <w:top w:val="nil"/>
              <w:left w:val="nil"/>
              <w:bottom w:val="nil"/>
              <w:right w:val="nil"/>
            </w:tcBorders>
          </w:tcPr>
          <w:p w:rsidR="00DF26C1" w:rsidRDefault="00DF26C1" w:rsidP="007B6DBD">
            <w:pPr>
              <w:pStyle w:val="TableParagraph"/>
              <w:kinsoku w:val="0"/>
              <w:overflowPunct w:val="0"/>
              <w:spacing w:before="5"/>
              <w:ind w:left="154"/>
            </w:pPr>
            <w:r>
              <w:rPr>
                <w:rFonts w:ascii="Arial" w:hAnsi="Arial" w:cs="Arial"/>
                <w:w w:val="106"/>
                <w:sz w:val="9"/>
                <w:szCs w:val="9"/>
              </w:rPr>
              <w:t>5</w:t>
            </w:r>
          </w:p>
        </w:tc>
        <w:tc>
          <w:tcPr>
            <w:tcW w:w="255" w:type="dxa"/>
            <w:tcBorders>
              <w:top w:val="nil"/>
              <w:left w:val="nil"/>
              <w:bottom w:val="nil"/>
              <w:right w:val="nil"/>
            </w:tcBorders>
          </w:tcPr>
          <w:p w:rsidR="00DF26C1" w:rsidRDefault="00DF26C1" w:rsidP="007B6DBD">
            <w:pPr>
              <w:pStyle w:val="TableParagraph"/>
              <w:kinsoku w:val="0"/>
              <w:overflowPunct w:val="0"/>
              <w:spacing w:before="5"/>
              <w:ind w:left="107"/>
            </w:pPr>
            <w:r>
              <w:rPr>
                <w:rFonts w:ascii="Arial" w:hAnsi="Arial" w:cs="Arial"/>
                <w:w w:val="105"/>
                <w:sz w:val="9"/>
                <w:szCs w:val="9"/>
              </w:rPr>
              <w:t>12</w:t>
            </w:r>
          </w:p>
        </w:tc>
        <w:tc>
          <w:tcPr>
            <w:tcW w:w="302" w:type="dxa"/>
            <w:tcBorders>
              <w:top w:val="nil"/>
              <w:left w:val="nil"/>
              <w:bottom w:val="nil"/>
              <w:right w:val="nil"/>
            </w:tcBorders>
          </w:tcPr>
          <w:p w:rsidR="00DF26C1" w:rsidRDefault="00DF26C1" w:rsidP="007B6DBD">
            <w:pPr>
              <w:pStyle w:val="TableParagraph"/>
              <w:kinsoku w:val="0"/>
              <w:overflowPunct w:val="0"/>
              <w:spacing w:before="5"/>
              <w:ind w:left="172"/>
            </w:pPr>
            <w:r>
              <w:rPr>
                <w:rFonts w:ascii="Arial" w:hAnsi="Arial" w:cs="Arial"/>
                <w:w w:val="105"/>
                <w:sz w:val="9"/>
                <w:szCs w:val="9"/>
              </w:rPr>
              <w:t>40</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5"/>
              <w:ind w:left="-11"/>
            </w:pPr>
            <w:r>
              <w:rPr>
                <w:rFonts w:ascii="Arial" w:hAnsi="Arial" w:cs="Arial"/>
                <w:w w:val="105"/>
                <w:sz w:val="9"/>
                <w:szCs w:val="9"/>
              </w:rPr>
              <w:t>11</w:t>
            </w:r>
          </w:p>
        </w:tc>
        <w:tc>
          <w:tcPr>
            <w:tcW w:w="225" w:type="dxa"/>
            <w:tcBorders>
              <w:top w:val="nil"/>
              <w:left w:val="nil"/>
              <w:bottom w:val="nil"/>
              <w:right w:val="nil"/>
            </w:tcBorders>
          </w:tcPr>
          <w:p w:rsidR="00DF26C1" w:rsidRDefault="00DF26C1" w:rsidP="007B6DBD">
            <w:pPr>
              <w:pStyle w:val="TableParagraph"/>
              <w:kinsoku w:val="0"/>
              <w:overflowPunct w:val="0"/>
              <w:spacing w:before="5"/>
              <w:ind w:left="93"/>
            </w:pPr>
            <w:r>
              <w:rPr>
                <w:rFonts w:ascii="Arial" w:hAnsi="Arial" w:cs="Arial"/>
                <w:w w:val="105"/>
                <w:sz w:val="9"/>
                <w:szCs w:val="9"/>
              </w:rPr>
              <w:t>33</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 ;</w:t>
            </w:r>
            <w:r>
              <w:rPr>
                <w:rFonts w:ascii="Arial" w:hAnsi="Arial" w:cs="Arial"/>
                <w:spacing w:val="25"/>
                <w:w w:val="105"/>
                <w:sz w:val="9"/>
                <w:szCs w:val="9"/>
              </w:rPr>
              <w:t xml:space="preserve"> </w:t>
            </w:r>
            <w:r>
              <w:rPr>
                <w:rFonts w:ascii="Arial" w:hAnsi="Arial" w:cs="Arial"/>
                <w:w w:val="105"/>
                <w:sz w:val="9"/>
                <w:szCs w:val="9"/>
              </w:rPr>
              <w:t>Esterel</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
              <w:jc w:val="center"/>
            </w:pPr>
            <w:r>
              <w:rPr>
                <w:rFonts w:ascii="Arial" w:hAnsi="Arial" w:cs="Arial"/>
                <w:w w:val="106"/>
                <w:sz w:val="9"/>
                <w:szCs w:val="9"/>
              </w:rPr>
              <w:t>3</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gabbro</w:t>
            </w:r>
          </w:p>
        </w:tc>
        <w:tc>
          <w:tcPr>
            <w:tcW w:w="1062" w:type="dxa"/>
            <w:gridSpan w:val="2"/>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xenolith in</w:t>
            </w:r>
            <w:r>
              <w:rPr>
                <w:rFonts w:ascii="Arial" w:hAnsi="Arial" w:cs="Arial"/>
                <w:spacing w:val="-21"/>
                <w:w w:val="105"/>
                <w:sz w:val="9"/>
                <w:szCs w:val="9"/>
              </w:rPr>
              <w:t xml:space="preserve"> </w:t>
            </w:r>
            <w:r>
              <w:rPr>
                <w:rFonts w:ascii="Arial" w:hAnsi="Arial" w:cs="Arial"/>
                <w:w w:val="105"/>
                <w:sz w:val="9"/>
                <w:szCs w:val="9"/>
              </w:rPr>
              <w:t>dacite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PR7a</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0"/>
              <w:jc w:val="center"/>
            </w:pPr>
            <w:r>
              <w:rPr>
                <w:rFonts w:ascii="Arial" w:hAnsi="Arial" w:cs="Arial"/>
                <w:w w:val="106"/>
                <w:sz w:val="9"/>
                <w:szCs w:val="9"/>
              </w:rPr>
              <w:t>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46,59</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2,13</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16,68</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1,61</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9,63</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0,29</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9,19</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10,7</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2,32</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0,33</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0,53</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2,53</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102,52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
              <w:jc w:val="center"/>
            </w:pPr>
            <w:r>
              <w:rPr>
                <w:rFonts w:ascii="Arial" w:hAnsi="Arial" w:cs="Arial"/>
                <w:w w:val="106"/>
                <w:sz w:val="9"/>
                <w:szCs w:val="9"/>
              </w:rPr>
              <w:t>6</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290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35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104</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17</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183</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54"/>
            </w:pPr>
            <w:r>
              <w:rPr>
                <w:rFonts w:ascii="Arial" w:hAnsi="Arial" w:cs="Arial"/>
                <w:w w:val="106"/>
                <w:sz w:val="9"/>
                <w:szCs w:val="9"/>
              </w:rPr>
              <w:t>2</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18</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37</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91</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243</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77"/>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 ,  near</w:t>
            </w:r>
            <w:r>
              <w:rPr>
                <w:rFonts w:ascii="Arial" w:hAnsi="Arial" w:cs="Arial"/>
                <w:spacing w:val="-4"/>
                <w:w w:val="105"/>
                <w:sz w:val="9"/>
                <w:szCs w:val="9"/>
              </w:rPr>
              <w:t xml:space="preserve"> </w:t>
            </w:r>
            <w:r>
              <w:rPr>
                <w:rFonts w:ascii="Arial" w:hAnsi="Arial" w:cs="Arial"/>
                <w:w w:val="105"/>
                <w:sz w:val="9"/>
                <w:szCs w:val="9"/>
              </w:rPr>
              <w:t>Nice</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
              <w:jc w:val="center"/>
            </w:pPr>
            <w:r>
              <w:rPr>
                <w:rFonts w:ascii="Arial" w:hAnsi="Arial" w:cs="Arial"/>
                <w:w w:val="106"/>
                <w:sz w:val="9"/>
                <w:szCs w:val="9"/>
              </w:rPr>
              <w:t>4</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lava</w:t>
            </w:r>
            <w:r>
              <w:rPr>
                <w:rFonts w:ascii="Arial" w:hAnsi="Arial" w:cs="Arial"/>
                <w:spacing w:val="-10"/>
                <w:w w:val="105"/>
                <w:sz w:val="9"/>
                <w:szCs w:val="9"/>
              </w:rPr>
              <w:t xml:space="preserve"> </w:t>
            </w:r>
            <w:r>
              <w:rPr>
                <w:rFonts w:ascii="Arial" w:hAnsi="Arial" w:cs="Arial"/>
                <w:w w:val="105"/>
                <w:sz w:val="9"/>
                <w:szCs w:val="9"/>
              </w:rPr>
              <w:t>clast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PR2</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5; 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58,80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0,96</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19,16</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0,72</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4,32</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0,28</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2,28</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7,98</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3,81</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1,38</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0,29</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1,41</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101,39</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37</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367</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28</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104</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8</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431</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54"/>
            </w:pPr>
            <w:r>
              <w:rPr>
                <w:rFonts w:ascii="Arial" w:hAnsi="Arial" w:cs="Arial"/>
                <w:w w:val="106"/>
                <w:sz w:val="9"/>
                <w:szCs w:val="9"/>
              </w:rPr>
              <w:t>5</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10</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24</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11</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21</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80"/>
        </w:trPr>
        <w:tc>
          <w:tcPr>
            <w:tcW w:w="921" w:type="dxa"/>
            <w:tcBorders>
              <w:top w:val="nil"/>
              <w:left w:val="nil"/>
              <w:bottom w:val="nil"/>
              <w:right w:val="nil"/>
            </w:tcBorders>
          </w:tcPr>
          <w:p w:rsidR="00DF26C1" w:rsidRDefault="00DF26C1" w:rsidP="007B6DBD">
            <w:pPr>
              <w:pStyle w:val="TableParagraph"/>
              <w:kinsoku w:val="0"/>
              <w:overflowPunct w:val="0"/>
              <w:spacing w:before="70"/>
              <w:ind w:left="23"/>
            </w:pPr>
            <w:r>
              <w:rPr>
                <w:rFonts w:ascii="Arial" w:hAnsi="Arial" w:cs="Arial"/>
                <w:w w:val="105"/>
                <w:sz w:val="9"/>
                <w:szCs w:val="9"/>
                <w:u w:val="single"/>
              </w:rPr>
              <w:t>Sardinia;</w:t>
            </w:r>
            <w:r>
              <w:rPr>
                <w:rFonts w:ascii="Arial" w:hAnsi="Arial" w:cs="Arial"/>
                <w:spacing w:val="-7"/>
                <w:w w:val="105"/>
                <w:sz w:val="9"/>
                <w:szCs w:val="9"/>
                <w:u w:val="single"/>
              </w:rPr>
              <w:t xml:space="preserve"> </w:t>
            </w:r>
            <w:r>
              <w:rPr>
                <w:rFonts w:ascii="Arial" w:hAnsi="Arial" w:cs="Arial"/>
                <w:w w:val="105"/>
                <w:sz w:val="9"/>
                <w:szCs w:val="9"/>
              </w:rPr>
              <w:t>Sarroch</w:t>
            </w:r>
          </w:p>
        </w:tc>
        <w:tc>
          <w:tcPr>
            <w:tcW w:w="503" w:type="dxa"/>
            <w:tcBorders>
              <w:top w:val="nil"/>
              <w:left w:val="nil"/>
              <w:bottom w:val="nil"/>
              <w:right w:val="nil"/>
            </w:tcBorders>
          </w:tcPr>
          <w:p w:rsidR="00DF26C1" w:rsidRDefault="00DF26C1" w:rsidP="007B6DBD">
            <w:pPr>
              <w:pStyle w:val="TableParagraph"/>
              <w:kinsoku w:val="0"/>
              <w:overflowPunct w:val="0"/>
              <w:spacing w:before="63"/>
              <w:ind w:left="18"/>
              <w:jc w:val="center"/>
            </w:pPr>
            <w:r>
              <w:rPr>
                <w:rFonts w:ascii="Arial" w:hAnsi="Arial" w:cs="Arial"/>
                <w:w w:val="106"/>
                <w:sz w:val="9"/>
                <w:szCs w:val="9"/>
              </w:rPr>
              <w:t>5</w:t>
            </w:r>
          </w:p>
        </w:tc>
        <w:tc>
          <w:tcPr>
            <w:tcW w:w="624" w:type="dxa"/>
            <w:tcBorders>
              <w:top w:val="nil"/>
              <w:left w:val="nil"/>
              <w:bottom w:val="nil"/>
              <w:right w:val="nil"/>
            </w:tcBorders>
          </w:tcPr>
          <w:p w:rsidR="00DF26C1" w:rsidRDefault="00DF26C1" w:rsidP="007B6DBD">
            <w:pPr>
              <w:pStyle w:val="TableParagraph"/>
              <w:kinsoku w:val="0"/>
              <w:overflowPunct w:val="0"/>
              <w:spacing w:before="63"/>
              <w:ind w:left="16"/>
            </w:pPr>
            <w:r>
              <w:rPr>
                <w:rFonts w:ascii="Arial" w:hAnsi="Arial" w:cs="Arial"/>
                <w:w w:val="105"/>
                <w:sz w:val="9"/>
                <w:szCs w:val="9"/>
              </w:rPr>
              <w:t>basalt</w:t>
            </w:r>
          </w:p>
        </w:tc>
        <w:tc>
          <w:tcPr>
            <w:tcW w:w="559" w:type="dxa"/>
            <w:tcBorders>
              <w:top w:val="nil"/>
              <w:left w:val="nil"/>
              <w:bottom w:val="nil"/>
              <w:right w:val="nil"/>
            </w:tcBorders>
          </w:tcPr>
          <w:p w:rsidR="00DF26C1" w:rsidRDefault="00DF26C1" w:rsidP="007B6DBD">
            <w:pPr>
              <w:pStyle w:val="TableParagraph"/>
              <w:kinsoku w:val="0"/>
              <w:overflowPunct w:val="0"/>
              <w:spacing w:before="63"/>
              <w:ind w:left="54"/>
            </w:pPr>
            <w:r>
              <w:rPr>
                <w:rFonts w:ascii="Arial" w:hAnsi="Arial" w:cs="Arial"/>
                <w:w w:val="105"/>
                <w:sz w:val="9"/>
                <w:szCs w:val="9"/>
              </w:rPr>
              <w:t>amphibole-</w:t>
            </w:r>
          </w:p>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63"/>
              <w:ind w:left="6"/>
            </w:pPr>
            <w:r>
              <w:rPr>
                <w:rFonts w:ascii="Arial" w:hAnsi="Arial" w:cs="Arial"/>
                <w:w w:val="105"/>
                <w:sz w:val="9"/>
                <w:szCs w:val="9"/>
              </w:rPr>
              <w:t>SH-32</w:t>
            </w:r>
          </w:p>
        </w:tc>
        <w:tc>
          <w:tcPr>
            <w:tcW w:w="437" w:type="dxa"/>
            <w:tcBorders>
              <w:top w:val="nil"/>
              <w:left w:val="nil"/>
              <w:bottom w:val="nil"/>
              <w:right w:val="nil"/>
            </w:tcBorders>
          </w:tcPr>
          <w:p w:rsidR="00DF26C1" w:rsidRDefault="00DF26C1" w:rsidP="007B6DBD">
            <w:pPr>
              <w:pStyle w:val="TableParagraph"/>
              <w:kinsoku w:val="0"/>
              <w:overflowPunct w:val="0"/>
              <w:spacing w:before="63"/>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spacing w:before="63"/>
              <w:ind w:left="112"/>
            </w:pPr>
            <w:r>
              <w:rPr>
                <w:rFonts w:ascii="Arial" w:hAnsi="Arial" w:cs="Arial"/>
                <w:w w:val="105"/>
                <w:sz w:val="9"/>
                <w:szCs w:val="9"/>
              </w:rPr>
              <w:t>11</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63"/>
              <w:ind w:left="31"/>
            </w:pPr>
            <w:r>
              <w:rPr>
                <w:rFonts w:ascii="Arial" w:hAnsi="Arial" w:cs="Arial"/>
                <w:w w:val="105"/>
                <w:sz w:val="9"/>
                <w:szCs w:val="9"/>
              </w:rPr>
              <w:t>51,65</w:t>
            </w:r>
          </w:p>
        </w:tc>
        <w:tc>
          <w:tcPr>
            <w:tcW w:w="293" w:type="dxa"/>
            <w:tcBorders>
              <w:top w:val="nil"/>
              <w:left w:val="nil"/>
              <w:bottom w:val="nil"/>
              <w:right w:val="nil"/>
            </w:tcBorders>
          </w:tcPr>
          <w:p w:rsidR="00DF26C1" w:rsidRDefault="00DF26C1" w:rsidP="007B6DBD">
            <w:pPr>
              <w:pStyle w:val="TableParagraph"/>
              <w:kinsoku w:val="0"/>
              <w:overflowPunct w:val="0"/>
              <w:spacing w:before="63"/>
              <w:ind w:left="83"/>
            </w:pPr>
            <w:r>
              <w:rPr>
                <w:rFonts w:ascii="Arial" w:hAnsi="Arial" w:cs="Arial"/>
                <w:w w:val="105"/>
                <w:sz w:val="9"/>
                <w:szCs w:val="9"/>
              </w:rPr>
              <w:t>0,85</w:t>
            </w:r>
          </w:p>
        </w:tc>
        <w:tc>
          <w:tcPr>
            <w:tcW w:w="308" w:type="dxa"/>
            <w:tcBorders>
              <w:top w:val="nil"/>
              <w:left w:val="nil"/>
              <w:bottom w:val="nil"/>
              <w:right w:val="nil"/>
            </w:tcBorders>
          </w:tcPr>
          <w:p w:rsidR="00DF26C1" w:rsidRDefault="00DF26C1" w:rsidP="007B6DBD">
            <w:pPr>
              <w:pStyle w:val="TableParagraph"/>
              <w:kinsoku w:val="0"/>
              <w:overflowPunct w:val="0"/>
              <w:spacing w:before="63"/>
              <w:ind w:left="57"/>
            </w:pPr>
            <w:r>
              <w:rPr>
                <w:rFonts w:ascii="Arial" w:hAnsi="Arial" w:cs="Arial"/>
                <w:w w:val="105"/>
                <w:sz w:val="9"/>
                <w:szCs w:val="9"/>
              </w:rPr>
              <w:t>18,48</w:t>
            </w:r>
          </w:p>
        </w:tc>
        <w:tc>
          <w:tcPr>
            <w:tcW w:w="353" w:type="dxa"/>
            <w:tcBorders>
              <w:top w:val="nil"/>
              <w:left w:val="nil"/>
              <w:bottom w:val="nil"/>
              <w:right w:val="nil"/>
            </w:tcBorders>
          </w:tcPr>
          <w:p w:rsidR="00DF26C1" w:rsidRDefault="00DF26C1" w:rsidP="007B6DBD">
            <w:pPr>
              <w:pStyle w:val="TableParagraph"/>
              <w:kinsoku w:val="0"/>
              <w:overflowPunct w:val="0"/>
              <w:spacing w:before="63"/>
              <w:ind w:left="140"/>
            </w:pPr>
            <w:r>
              <w:rPr>
                <w:rFonts w:ascii="Arial" w:hAnsi="Arial" w:cs="Arial"/>
                <w:w w:val="105"/>
                <w:sz w:val="9"/>
                <w:szCs w:val="9"/>
              </w:rPr>
              <w:t>4,18</w:t>
            </w:r>
          </w:p>
        </w:tc>
        <w:tc>
          <w:tcPr>
            <w:tcW w:w="234" w:type="dxa"/>
            <w:tcBorders>
              <w:top w:val="nil"/>
              <w:left w:val="nil"/>
              <w:bottom w:val="nil"/>
              <w:right w:val="nil"/>
            </w:tcBorders>
          </w:tcPr>
          <w:p w:rsidR="00DF26C1" w:rsidRDefault="00DF26C1" w:rsidP="007B6DBD">
            <w:pPr>
              <w:pStyle w:val="TableParagraph"/>
              <w:kinsoku w:val="0"/>
              <w:overflowPunct w:val="0"/>
              <w:spacing w:before="63"/>
              <w:ind w:left="17"/>
            </w:pPr>
            <w:r>
              <w:rPr>
                <w:rFonts w:ascii="Arial" w:hAnsi="Arial" w:cs="Arial"/>
                <w:w w:val="105"/>
                <w:sz w:val="9"/>
                <w:szCs w:val="9"/>
              </w:rPr>
              <w:t>4,77</w:t>
            </w:r>
          </w:p>
        </w:tc>
        <w:tc>
          <w:tcPr>
            <w:tcW w:w="224" w:type="dxa"/>
            <w:tcBorders>
              <w:top w:val="nil"/>
              <w:left w:val="nil"/>
              <w:bottom w:val="nil"/>
              <w:right w:val="nil"/>
            </w:tcBorders>
          </w:tcPr>
          <w:p w:rsidR="00DF26C1" w:rsidRDefault="00DF26C1" w:rsidP="007B6DBD">
            <w:pPr>
              <w:pStyle w:val="TableParagraph"/>
              <w:kinsoku w:val="0"/>
              <w:overflowPunct w:val="0"/>
              <w:spacing w:before="63"/>
              <w:ind w:left="28"/>
            </w:pPr>
            <w:r>
              <w:rPr>
                <w:rFonts w:ascii="Arial" w:hAnsi="Arial" w:cs="Arial"/>
                <w:w w:val="105"/>
                <w:sz w:val="9"/>
                <w:szCs w:val="9"/>
              </w:rPr>
              <w:t>0,23</w:t>
            </w:r>
          </w:p>
        </w:tc>
        <w:tc>
          <w:tcPr>
            <w:tcW w:w="269" w:type="dxa"/>
            <w:tcBorders>
              <w:top w:val="nil"/>
              <w:left w:val="nil"/>
              <w:bottom w:val="nil"/>
              <w:right w:val="nil"/>
            </w:tcBorders>
          </w:tcPr>
          <w:p w:rsidR="00DF26C1" w:rsidRDefault="00DF26C1" w:rsidP="007B6DBD">
            <w:pPr>
              <w:pStyle w:val="TableParagraph"/>
              <w:kinsoku w:val="0"/>
              <w:overflowPunct w:val="0"/>
              <w:spacing w:before="63"/>
              <w:ind w:left="54"/>
            </w:pPr>
            <w:r>
              <w:rPr>
                <w:rFonts w:ascii="Arial" w:hAnsi="Arial" w:cs="Arial"/>
                <w:w w:val="105"/>
                <w:sz w:val="9"/>
                <w:szCs w:val="9"/>
              </w:rPr>
              <w:t>5,12</w:t>
            </w:r>
          </w:p>
        </w:tc>
        <w:tc>
          <w:tcPr>
            <w:tcW w:w="261" w:type="dxa"/>
            <w:tcBorders>
              <w:top w:val="nil"/>
              <w:left w:val="nil"/>
              <w:bottom w:val="nil"/>
              <w:right w:val="nil"/>
            </w:tcBorders>
          </w:tcPr>
          <w:p w:rsidR="00DF26C1" w:rsidRDefault="00DF26C1" w:rsidP="007B6DBD">
            <w:pPr>
              <w:pStyle w:val="TableParagraph"/>
              <w:kinsoku w:val="0"/>
              <w:overflowPunct w:val="0"/>
              <w:spacing w:before="63"/>
              <w:ind w:left="56"/>
            </w:pPr>
            <w:r>
              <w:rPr>
                <w:rFonts w:ascii="Arial" w:hAnsi="Arial" w:cs="Arial"/>
                <w:w w:val="105"/>
                <w:sz w:val="9"/>
                <w:szCs w:val="9"/>
              </w:rPr>
              <w:t>8,37</w:t>
            </w:r>
          </w:p>
        </w:tc>
        <w:tc>
          <w:tcPr>
            <w:tcW w:w="278" w:type="dxa"/>
            <w:tcBorders>
              <w:top w:val="nil"/>
              <w:left w:val="nil"/>
              <w:bottom w:val="nil"/>
              <w:right w:val="nil"/>
            </w:tcBorders>
          </w:tcPr>
          <w:p w:rsidR="00DF26C1" w:rsidRDefault="00DF26C1" w:rsidP="007B6DBD">
            <w:pPr>
              <w:pStyle w:val="TableParagraph"/>
              <w:kinsoku w:val="0"/>
              <w:overflowPunct w:val="0"/>
              <w:spacing w:before="63"/>
              <w:ind w:left="54"/>
            </w:pPr>
            <w:r>
              <w:rPr>
                <w:rFonts w:ascii="Arial" w:hAnsi="Arial" w:cs="Arial"/>
                <w:w w:val="105"/>
                <w:sz w:val="9"/>
                <w:szCs w:val="9"/>
              </w:rPr>
              <w:t>2,67</w:t>
            </w:r>
          </w:p>
        </w:tc>
        <w:tc>
          <w:tcPr>
            <w:tcW w:w="237" w:type="dxa"/>
            <w:tcBorders>
              <w:top w:val="nil"/>
              <w:left w:val="nil"/>
              <w:bottom w:val="nil"/>
              <w:right w:val="nil"/>
            </w:tcBorders>
          </w:tcPr>
          <w:p w:rsidR="00DF26C1" w:rsidRDefault="00DF26C1" w:rsidP="007B6DBD">
            <w:pPr>
              <w:pStyle w:val="TableParagraph"/>
              <w:kinsoku w:val="0"/>
              <w:overflowPunct w:val="0"/>
              <w:spacing w:before="63"/>
              <w:ind w:left="26"/>
            </w:pPr>
            <w:r>
              <w:rPr>
                <w:rFonts w:ascii="Arial" w:hAnsi="Arial" w:cs="Arial"/>
                <w:w w:val="105"/>
                <w:sz w:val="9"/>
                <w:szCs w:val="9"/>
              </w:rPr>
              <w:t>0,62</w:t>
            </w:r>
          </w:p>
        </w:tc>
        <w:tc>
          <w:tcPr>
            <w:tcW w:w="296" w:type="dxa"/>
            <w:tcBorders>
              <w:top w:val="nil"/>
              <w:left w:val="nil"/>
              <w:bottom w:val="nil"/>
              <w:right w:val="nil"/>
            </w:tcBorders>
          </w:tcPr>
          <w:p w:rsidR="00DF26C1" w:rsidRDefault="00DF26C1" w:rsidP="007B6DBD">
            <w:pPr>
              <w:pStyle w:val="TableParagraph"/>
              <w:kinsoku w:val="0"/>
              <w:overflowPunct w:val="0"/>
              <w:spacing w:before="63"/>
              <w:ind w:left="81"/>
            </w:pPr>
            <w:r>
              <w:rPr>
                <w:rFonts w:ascii="Arial" w:hAnsi="Arial" w:cs="Arial"/>
                <w:w w:val="105"/>
                <w:sz w:val="9"/>
                <w:szCs w:val="9"/>
              </w:rPr>
              <w:t>0,16</w:t>
            </w:r>
          </w:p>
        </w:tc>
        <w:tc>
          <w:tcPr>
            <w:tcW w:w="274" w:type="dxa"/>
            <w:tcBorders>
              <w:top w:val="nil"/>
              <w:left w:val="nil"/>
              <w:bottom w:val="nil"/>
              <w:right w:val="nil"/>
            </w:tcBorders>
          </w:tcPr>
          <w:p w:rsidR="00DF26C1" w:rsidRDefault="00DF26C1" w:rsidP="007B6DBD">
            <w:pPr>
              <w:pStyle w:val="TableParagraph"/>
              <w:kinsoku w:val="0"/>
              <w:overflowPunct w:val="0"/>
              <w:spacing w:before="63"/>
              <w:ind w:left="64"/>
            </w:pPr>
            <w:r>
              <w:rPr>
                <w:rFonts w:ascii="Arial" w:hAnsi="Arial" w:cs="Arial"/>
                <w:w w:val="105"/>
                <w:sz w:val="9"/>
                <w:szCs w:val="9"/>
              </w:rPr>
              <w:t>2,79</w:t>
            </w:r>
          </w:p>
        </w:tc>
        <w:tc>
          <w:tcPr>
            <w:tcW w:w="350" w:type="dxa"/>
            <w:tcBorders>
              <w:top w:val="nil"/>
              <w:left w:val="nil"/>
              <w:bottom w:val="nil"/>
              <w:right w:val="nil"/>
            </w:tcBorders>
          </w:tcPr>
          <w:p w:rsidR="00DF26C1" w:rsidRDefault="00DF26C1" w:rsidP="007B6DBD">
            <w:pPr>
              <w:pStyle w:val="TableParagraph"/>
              <w:kinsoku w:val="0"/>
              <w:overflowPunct w:val="0"/>
              <w:spacing w:before="63"/>
              <w:ind w:left="83"/>
            </w:pPr>
            <w:r>
              <w:rPr>
                <w:rFonts w:ascii="Arial" w:hAnsi="Arial" w:cs="Arial"/>
                <w:w w:val="105"/>
                <w:sz w:val="9"/>
                <w:szCs w:val="9"/>
              </w:rPr>
              <w:t>99,99</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63"/>
              <w:ind w:left="86"/>
            </w:pPr>
            <w:r>
              <w:rPr>
                <w:rFonts w:ascii="Arial" w:hAnsi="Arial" w:cs="Arial"/>
                <w:w w:val="105"/>
                <w:sz w:val="9"/>
                <w:szCs w:val="9"/>
              </w:rPr>
              <w:t>16</w:t>
            </w:r>
          </w:p>
        </w:tc>
        <w:tc>
          <w:tcPr>
            <w:tcW w:w="253" w:type="dxa"/>
            <w:tcBorders>
              <w:top w:val="nil"/>
              <w:left w:val="nil"/>
              <w:bottom w:val="nil"/>
              <w:right w:val="nil"/>
            </w:tcBorders>
          </w:tcPr>
          <w:p w:rsidR="00DF26C1" w:rsidRDefault="00DF26C1" w:rsidP="007B6DBD">
            <w:pPr>
              <w:pStyle w:val="TableParagraph"/>
              <w:kinsoku w:val="0"/>
              <w:overflowPunct w:val="0"/>
              <w:spacing w:before="63"/>
              <w:ind w:left="70"/>
            </w:pPr>
            <w:r>
              <w:rPr>
                <w:rFonts w:ascii="Arial" w:hAnsi="Arial" w:cs="Arial"/>
                <w:w w:val="105"/>
                <w:sz w:val="9"/>
                <w:szCs w:val="9"/>
              </w:rPr>
              <w:t>284</w:t>
            </w:r>
          </w:p>
        </w:tc>
        <w:tc>
          <w:tcPr>
            <w:tcW w:w="245" w:type="dxa"/>
            <w:tcBorders>
              <w:top w:val="nil"/>
              <w:left w:val="nil"/>
              <w:bottom w:val="nil"/>
              <w:right w:val="nil"/>
            </w:tcBorders>
          </w:tcPr>
          <w:p w:rsidR="00DF26C1" w:rsidRDefault="00DF26C1" w:rsidP="007B6DBD">
            <w:pPr>
              <w:pStyle w:val="TableParagraph"/>
              <w:kinsoku w:val="0"/>
              <w:overflowPunct w:val="0"/>
              <w:spacing w:before="63"/>
              <w:ind w:left="115"/>
            </w:pPr>
            <w:r>
              <w:rPr>
                <w:rFonts w:ascii="Arial" w:hAnsi="Arial" w:cs="Arial"/>
                <w:w w:val="105"/>
                <w:sz w:val="9"/>
                <w:szCs w:val="9"/>
              </w:rPr>
              <w:t>12</w:t>
            </w:r>
          </w:p>
        </w:tc>
        <w:tc>
          <w:tcPr>
            <w:tcW w:w="259" w:type="dxa"/>
            <w:tcBorders>
              <w:top w:val="nil"/>
              <w:left w:val="nil"/>
              <w:bottom w:val="nil"/>
              <w:right w:val="nil"/>
            </w:tcBorders>
          </w:tcPr>
          <w:p w:rsidR="00DF26C1" w:rsidRDefault="00DF26C1" w:rsidP="007B6DBD">
            <w:pPr>
              <w:pStyle w:val="TableParagraph"/>
              <w:kinsoku w:val="0"/>
              <w:overflowPunct w:val="0"/>
              <w:spacing w:before="63"/>
              <w:ind w:left="129"/>
            </w:pPr>
            <w:r>
              <w:rPr>
                <w:rFonts w:ascii="Arial" w:hAnsi="Arial" w:cs="Arial"/>
                <w:w w:val="105"/>
                <w:sz w:val="9"/>
                <w:szCs w:val="9"/>
              </w:rPr>
              <w:t>88</w:t>
            </w:r>
          </w:p>
        </w:tc>
        <w:tc>
          <w:tcPr>
            <w:tcW w:w="223" w:type="dxa"/>
            <w:tcBorders>
              <w:top w:val="nil"/>
              <w:left w:val="nil"/>
              <w:bottom w:val="nil"/>
              <w:right w:val="nil"/>
            </w:tcBorders>
          </w:tcPr>
          <w:p w:rsidR="00DF26C1" w:rsidRDefault="00DF26C1" w:rsidP="007B6DBD">
            <w:pPr>
              <w:pStyle w:val="TableParagraph"/>
              <w:kinsoku w:val="0"/>
              <w:overflowPunct w:val="0"/>
              <w:spacing w:before="63"/>
              <w:ind w:left="9"/>
              <w:jc w:val="center"/>
            </w:pPr>
            <w:r>
              <w:rPr>
                <w:rFonts w:ascii="Arial" w:hAnsi="Arial" w:cs="Arial"/>
                <w:w w:val="106"/>
                <w:sz w:val="9"/>
                <w:szCs w:val="9"/>
              </w:rPr>
              <w:t>5</w:t>
            </w:r>
          </w:p>
        </w:tc>
        <w:tc>
          <w:tcPr>
            <w:tcW w:w="281" w:type="dxa"/>
            <w:tcBorders>
              <w:top w:val="nil"/>
              <w:left w:val="nil"/>
              <w:bottom w:val="nil"/>
              <w:right w:val="nil"/>
            </w:tcBorders>
          </w:tcPr>
          <w:p w:rsidR="00DF26C1" w:rsidRDefault="00DF26C1" w:rsidP="007B6DBD">
            <w:pPr>
              <w:pStyle w:val="TableParagraph"/>
              <w:kinsoku w:val="0"/>
              <w:overflowPunct w:val="0"/>
              <w:spacing w:before="63"/>
              <w:ind w:left="99"/>
            </w:pPr>
            <w:r>
              <w:rPr>
                <w:rFonts w:ascii="Arial" w:hAnsi="Arial" w:cs="Arial"/>
                <w:w w:val="105"/>
                <w:sz w:val="9"/>
                <w:szCs w:val="9"/>
              </w:rPr>
              <w:t>307</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63"/>
              <w:ind w:left="28"/>
            </w:pPr>
            <w:r>
              <w:rPr>
                <w:rFonts w:ascii="Arial" w:hAnsi="Arial" w:cs="Arial"/>
                <w:w w:val="105"/>
                <w:sz w:val="9"/>
                <w:szCs w:val="9"/>
              </w:rPr>
              <w:t>16,2</w:t>
            </w:r>
          </w:p>
        </w:tc>
        <w:tc>
          <w:tcPr>
            <w:tcW w:w="302" w:type="dxa"/>
            <w:tcBorders>
              <w:top w:val="nil"/>
              <w:left w:val="nil"/>
              <w:bottom w:val="nil"/>
              <w:right w:val="nil"/>
            </w:tcBorders>
          </w:tcPr>
          <w:p w:rsidR="00DF26C1" w:rsidRDefault="00DF26C1" w:rsidP="007B6DBD">
            <w:pPr>
              <w:pStyle w:val="TableParagraph"/>
              <w:kinsoku w:val="0"/>
              <w:overflowPunct w:val="0"/>
              <w:spacing w:before="63"/>
              <w:ind w:left="93"/>
            </w:pPr>
            <w:r>
              <w:rPr>
                <w:rFonts w:ascii="Arial" w:hAnsi="Arial" w:cs="Arial"/>
                <w:w w:val="105"/>
                <w:sz w:val="9"/>
                <w:szCs w:val="9"/>
              </w:rPr>
              <w:t>31,7</w:t>
            </w:r>
          </w:p>
        </w:tc>
        <w:tc>
          <w:tcPr>
            <w:tcW w:w="259" w:type="dxa"/>
            <w:tcBorders>
              <w:top w:val="nil"/>
              <w:left w:val="nil"/>
              <w:bottom w:val="nil"/>
              <w:right w:val="nil"/>
            </w:tcBorders>
          </w:tcPr>
          <w:p w:rsidR="00DF26C1" w:rsidRDefault="00DF26C1" w:rsidP="007B6DBD">
            <w:pPr>
              <w:pStyle w:val="TableParagraph"/>
              <w:kinsoku w:val="0"/>
              <w:overflowPunct w:val="0"/>
              <w:spacing w:before="63"/>
              <w:ind w:left="49"/>
            </w:pPr>
            <w:r>
              <w:rPr>
                <w:rFonts w:ascii="Arial" w:hAnsi="Arial" w:cs="Arial"/>
                <w:w w:val="105"/>
                <w:sz w:val="9"/>
                <w:szCs w:val="9"/>
              </w:rPr>
              <w:t>14,8</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spacing w:before="63"/>
              <w:ind w:left="-11"/>
            </w:pPr>
            <w:r>
              <w:rPr>
                <w:rFonts w:ascii="Arial" w:hAnsi="Arial" w:cs="Arial"/>
                <w:w w:val="105"/>
                <w:sz w:val="9"/>
                <w:szCs w:val="9"/>
              </w:rPr>
              <w:t>3,5</w:t>
            </w:r>
          </w:p>
        </w:tc>
        <w:tc>
          <w:tcPr>
            <w:tcW w:w="250" w:type="dxa"/>
            <w:tcBorders>
              <w:top w:val="nil"/>
              <w:left w:val="nil"/>
              <w:bottom w:val="nil"/>
              <w:right w:val="nil"/>
            </w:tcBorders>
          </w:tcPr>
          <w:p w:rsidR="00DF26C1" w:rsidRDefault="00DF26C1" w:rsidP="007B6DBD">
            <w:pPr>
              <w:pStyle w:val="TableParagraph"/>
              <w:kinsoku w:val="0"/>
              <w:overflowPunct w:val="0"/>
              <w:spacing w:before="63"/>
              <w:ind w:left="40"/>
            </w:pPr>
            <w:r>
              <w:rPr>
                <w:rFonts w:ascii="Arial" w:hAnsi="Arial" w:cs="Arial"/>
                <w:w w:val="105"/>
                <w:sz w:val="9"/>
                <w:szCs w:val="9"/>
              </w:rPr>
              <w:t>1,11</w:t>
            </w:r>
          </w:p>
        </w:tc>
        <w:tc>
          <w:tcPr>
            <w:tcW w:w="248" w:type="dxa"/>
            <w:tcBorders>
              <w:top w:val="nil"/>
              <w:left w:val="nil"/>
              <w:bottom w:val="nil"/>
              <w:right w:val="nil"/>
            </w:tcBorders>
          </w:tcPr>
          <w:p w:rsidR="00DF26C1" w:rsidRDefault="00DF26C1" w:rsidP="007B6DBD">
            <w:pPr>
              <w:pStyle w:val="TableParagraph"/>
              <w:kinsoku w:val="0"/>
              <w:overflowPunct w:val="0"/>
              <w:spacing w:before="63"/>
              <w:ind w:left="40"/>
            </w:pPr>
            <w:r>
              <w:rPr>
                <w:rFonts w:ascii="Arial" w:hAnsi="Arial" w:cs="Arial"/>
                <w:w w:val="105"/>
                <w:sz w:val="9"/>
                <w:szCs w:val="9"/>
              </w:rPr>
              <w:t>3,46</w:t>
            </w:r>
          </w:p>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63"/>
              <w:ind w:left="54"/>
            </w:pPr>
            <w:r>
              <w:rPr>
                <w:rFonts w:ascii="Arial" w:hAnsi="Arial" w:cs="Arial"/>
                <w:w w:val="105"/>
                <w:sz w:val="9"/>
                <w:szCs w:val="9"/>
              </w:rPr>
              <w:t>2,65</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63"/>
              <w:ind w:left="41"/>
            </w:pPr>
            <w:r>
              <w:rPr>
                <w:rFonts w:ascii="Arial" w:hAnsi="Arial" w:cs="Arial"/>
                <w:w w:val="106"/>
                <w:sz w:val="9"/>
                <w:szCs w:val="9"/>
              </w:rPr>
              <w:t>3</w:t>
            </w:r>
          </w:p>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spacing w:before="63"/>
              <w:ind w:left="255"/>
            </w:pPr>
            <w:r>
              <w:rPr>
                <w:rFonts w:ascii="Arial" w:hAnsi="Arial" w:cs="Arial"/>
                <w:w w:val="105"/>
                <w:sz w:val="9"/>
                <w:szCs w:val="9"/>
              </w:rPr>
              <w:t>0,70570</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4"/>
        </w:trPr>
        <w:tc>
          <w:tcPr>
            <w:tcW w:w="921" w:type="dxa"/>
            <w:tcBorders>
              <w:top w:val="nil"/>
              <w:left w:val="nil"/>
              <w:bottom w:val="nil"/>
              <w:right w:val="nil"/>
            </w:tcBorders>
          </w:tcPr>
          <w:p w:rsidR="00DF26C1" w:rsidRDefault="00DF26C1" w:rsidP="007B6DBD">
            <w:pPr>
              <w:pStyle w:val="TableParagraph"/>
              <w:kinsoku w:val="0"/>
              <w:overflowPunct w:val="0"/>
              <w:ind w:left="23"/>
            </w:pPr>
            <w:r>
              <w:rPr>
                <w:rFonts w:ascii="Arial" w:hAnsi="Arial" w:cs="Arial"/>
                <w:w w:val="105"/>
                <w:sz w:val="9"/>
                <w:szCs w:val="9"/>
              </w:rPr>
              <w:t>"; Sarroch</w:t>
            </w:r>
          </w:p>
        </w:tc>
        <w:tc>
          <w:tcPr>
            <w:tcW w:w="503" w:type="dxa"/>
            <w:tcBorders>
              <w:top w:val="nil"/>
              <w:left w:val="nil"/>
              <w:bottom w:val="nil"/>
              <w:right w:val="nil"/>
            </w:tcBorders>
          </w:tcPr>
          <w:p w:rsidR="00DF26C1" w:rsidRDefault="00DF26C1" w:rsidP="007B6DBD">
            <w:pPr>
              <w:pStyle w:val="TableParagraph"/>
              <w:kinsoku w:val="0"/>
              <w:overflowPunct w:val="0"/>
              <w:ind w:left="18"/>
              <w:jc w:val="center"/>
            </w:pPr>
            <w:r>
              <w:rPr>
                <w:rFonts w:ascii="Arial" w:hAnsi="Arial" w:cs="Arial"/>
                <w:w w:val="106"/>
                <w:sz w:val="9"/>
                <w:szCs w:val="9"/>
              </w:rPr>
              <w:t>5</w:t>
            </w:r>
          </w:p>
        </w:tc>
        <w:tc>
          <w:tcPr>
            <w:tcW w:w="624" w:type="dxa"/>
            <w:tcBorders>
              <w:top w:val="nil"/>
              <w:left w:val="nil"/>
              <w:bottom w:val="nil"/>
              <w:right w:val="nil"/>
            </w:tcBorders>
          </w:tcPr>
          <w:p w:rsidR="00DF26C1" w:rsidRDefault="00DF26C1" w:rsidP="007B6DBD">
            <w:pPr>
              <w:pStyle w:val="TableParagraph"/>
              <w:kinsoku w:val="0"/>
              <w:overflowPunct w:val="0"/>
              <w:ind w:left="16"/>
            </w:pPr>
            <w:r>
              <w:rPr>
                <w:rFonts w:ascii="Arial" w:hAnsi="Arial" w:cs="Arial"/>
                <w:w w:val="105"/>
                <w:sz w:val="9"/>
                <w:szCs w:val="9"/>
              </w:rPr>
              <w:t>bas.</w:t>
            </w:r>
            <w:r>
              <w:rPr>
                <w:rFonts w:ascii="Arial" w:hAnsi="Arial" w:cs="Arial"/>
                <w:spacing w:val="-9"/>
                <w:w w:val="105"/>
                <w:sz w:val="9"/>
                <w:szCs w:val="9"/>
              </w:rPr>
              <w:t xml:space="preserve"> </w:t>
            </w: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pPr>
              <w:pStyle w:val="TableParagraph"/>
              <w:kinsoku w:val="0"/>
              <w:overflowPunct w:val="0"/>
              <w:ind w:left="23"/>
            </w:pPr>
            <w:r>
              <w:rPr>
                <w:rFonts w:ascii="Arial" w:hAnsi="Arial" w:cs="Arial"/>
                <w:w w:val="105"/>
                <w:sz w:val="9"/>
                <w:szCs w:val="9"/>
              </w:rPr>
              <w:t>bearing</w:t>
            </w:r>
          </w:p>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ind w:left="6"/>
            </w:pPr>
            <w:r>
              <w:rPr>
                <w:rFonts w:ascii="Arial" w:hAnsi="Arial" w:cs="Arial"/>
                <w:w w:val="105"/>
                <w:sz w:val="9"/>
                <w:szCs w:val="9"/>
              </w:rPr>
              <w:t>SH-55</w:t>
            </w:r>
          </w:p>
        </w:tc>
        <w:tc>
          <w:tcPr>
            <w:tcW w:w="437" w:type="dxa"/>
            <w:tcBorders>
              <w:top w:val="nil"/>
              <w:left w:val="nil"/>
              <w:bottom w:val="nil"/>
              <w:right w:val="nil"/>
            </w:tcBorders>
          </w:tcPr>
          <w:p w:rsidR="00DF26C1" w:rsidRDefault="00DF26C1" w:rsidP="007B6DBD">
            <w:pPr>
              <w:pStyle w:val="TableParagraph"/>
              <w:kinsoku w:val="0"/>
              <w:overflowPunct w:val="0"/>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ind w:left="112"/>
            </w:pPr>
            <w:r>
              <w:rPr>
                <w:rFonts w:ascii="Arial" w:hAnsi="Arial" w:cs="Arial"/>
                <w:w w:val="105"/>
                <w:sz w:val="9"/>
                <w:szCs w:val="9"/>
              </w:rPr>
              <w:t>11</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ind w:left="31"/>
            </w:pPr>
            <w:r>
              <w:rPr>
                <w:rFonts w:ascii="Arial" w:hAnsi="Arial" w:cs="Arial"/>
                <w:w w:val="105"/>
                <w:sz w:val="9"/>
                <w:szCs w:val="9"/>
              </w:rPr>
              <w:t>55,51</w:t>
            </w:r>
          </w:p>
        </w:tc>
        <w:tc>
          <w:tcPr>
            <w:tcW w:w="293"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0,65</w:t>
            </w:r>
          </w:p>
        </w:tc>
        <w:tc>
          <w:tcPr>
            <w:tcW w:w="308" w:type="dxa"/>
            <w:tcBorders>
              <w:top w:val="nil"/>
              <w:left w:val="nil"/>
              <w:bottom w:val="nil"/>
              <w:right w:val="nil"/>
            </w:tcBorders>
          </w:tcPr>
          <w:p w:rsidR="00DF26C1" w:rsidRDefault="00DF26C1" w:rsidP="007B6DBD">
            <w:pPr>
              <w:pStyle w:val="TableParagraph"/>
              <w:kinsoku w:val="0"/>
              <w:overflowPunct w:val="0"/>
              <w:ind w:left="57"/>
            </w:pPr>
            <w:r>
              <w:rPr>
                <w:rFonts w:ascii="Arial" w:hAnsi="Arial" w:cs="Arial"/>
                <w:w w:val="105"/>
                <w:sz w:val="9"/>
                <w:szCs w:val="9"/>
              </w:rPr>
              <w:t>18,05</w:t>
            </w:r>
          </w:p>
        </w:tc>
        <w:tc>
          <w:tcPr>
            <w:tcW w:w="353" w:type="dxa"/>
            <w:tcBorders>
              <w:top w:val="nil"/>
              <w:left w:val="nil"/>
              <w:bottom w:val="nil"/>
              <w:right w:val="nil"/>
            </w:tcBorders>
          </w:tcPr>
          <w:p w:rsidR="00DF26C1" w:rsidRDefault="00DF26C1" w:rsidP="007B6DBD">
            <w:pPr>
              <w:pStyle w:val="TableParagraph"/>
              <w:kinsoku w:val="0"/>
              <w:overflowPunct w:val="0"/>
              <w:ind w:left="140"/>
            </w:pPr>
            <w:r>
              <w:rPr>
                <w:rFonts w:ascii="Arial" w:hAnsi="Arial" w:cs="Arial"/>
                <w:w w:val="105"/>
                <w:sz w:val="9"/>
                <w:szCs w:val="9"/>
              </w:rPr>
              <w:t>2,47</w:t>
            </w:r>
          </w:p>
        </w:tc>
        <w:tc>
          <w:tcPr>
            <w:tcW w:w="234" w:type="dxa"/>
            <w:tcBorders>
              <w:top w:val="nil"/>
              <w:left w:val="nil"/>
              <w:bottom w:val="nil"/>
              <w:right w:val="nil"/>
            </w:tcBorders>
          </w:tcPr>
          <w:p w:rsidR="00DF26C1" w:rsidRDefault="00DF26C1" w:rsidP="007B6DBD">
            <w:pPr>
              <w:pStyle w:val="TableParagraph"/>
              <w:kinsoku w:val="0"/>
              <w:overflowPunct w:val="0"/>
              <w:ind w:left="17"/>
            </w:pPr>
            <w:r>
              <w:rPr>
                <w:rFonts w:ascii="Arial" w:hAnsi="Arial" w:cs="Arial"/>
                <w:w w:val="105"/>
                <w:sz w:val="9"/>
                <w:szCs w:val="9"/>
              </w:rPr>
              <w:t>5,21</w:t>
            </w:r>
          </w:p>
        </w:tc>
        <w:tc>
          <w:tcPr>
            <w:tcW w:w="224" w:type="dxa"/>
            <w:tcBorders>
              <w:top w:val="nil"/>
              <w:left w:val="nil"/>
              <w:bottom w:val="nil"/>
              <w:right w:val="nil"/>
            </w:tcBorders>
          </w:tcPr>
          <w:p w:rsidR="00DF26C1" w:rsidRDefault="00DF26C1" w:rsidP="007B6DBD">
            <w:pPr>
              <w:pStyle w:val="TableParagraph"/>
              <w:kinsoku w:val="0"/>
              <w:overflowPunct w:val="0"/>
              <w:ind w:left="28"/>
            </w:pPr>
            <w:r>
              <w:rPr>
                <w:rFonts w:ascii="Arial" w:hAnsi="Arial" w:cs="Arial"/>
                <w:w w:val="105"/>
                <w:sz w:val="9"/>
                <w:szCs w:val="9"/>
              </w:rPr>
              <w:t>0,17</w:t>
            </w:r>
          </w:p>
        </w:tc>
        <w:tc>
          <w:tcPr>
            <w:tcW w:w="269"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3,79</w:t>
            </w:r>
          </w:p>
        </w:tc>
        <w:tc>
          <w:tcPr>
            <w:tcW w:w="261" w:type="dxa"/>
            <w:tcBorders>
              <w:top w:val="nil"/>
              <w:left w:val="nil"/>
              <w:bottom w:val="nil"/>
              <w:right w:val="nil"/>
            </w:tcBorders>
          </w:tcPr>
          <w:p w:rsidR="00DF26C1" w:rsidRDefault="00DF26C1" w:rsidP="007B6DBD">
            <w:pPr>
              <w:pStyle w:val="TableParagraph"/>
              <w:kinsoku w:val="0"/>
              <w:overflowPunct w:val="0"/>
              <w:ind w:left="56"/>
            </w:pPr>
            <w:r>
              <w:rPr>
                <w:rFonts w:ascii="Arial" w:hAnsi="Arial" w:cs="Arial"/>
                <w:w w:val="105"/>
                <w:sz w:val="9"/>
                <w:szCs w:val="9"/>
              </w:rPr>
              <w:t>8,32</w:t>
            </w:r>
          </w:p>
        </w:tc>
        <w:tc>
          <w:tcPr>
            <w:tcW w:w="278"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2,43</w:t>
            </w:r>
          </w:p>
        </w:tc>
        <w:tc>
          <w:tcPr>
            <w:tcW w:w="237" w:type="dxa"/>
            <w:tcBorders>
              <w:top w:val="nil"/>
              <w:left w:val="nil"/>
              <w:bottom w:val="nil"/>
              <w:right w:val="nil"/>
            </w:tcBorders>
          </w:tcPr>
          <w:p w:rsidR="00DF26C1" w:rsidRDefault="00DF26C1" w:rsidP="007B6DBD">
            <w:pPr>
              <w:pStyle w:val="TableParagraph"/>
              <w:kinsoku w:val="0"/>
              <w:overflowPunct w:val="0"/>
              <w:ind w:left="26"/>
            </w:pPr>
            <w:r>
              <w:rPr>
                <w:rFonts w:ascii="Arial" w:hAnsi="Arial" w:cs="Arial"/>
                <w:w w:val="105"/>
                <w:sz w:val="9"/>
                <w:szCs w:val="9"/>
              </w:rPr>
              <w:t>0,76</w:t>
            </w:r>
          </w:p>
        </w:tc>
        <w:tc>
          <w:tcPr>
            <w:tcW w:w="296"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0,16</w:t>
            </w:r>
          </w:p>
        </w:tc>
        <w:tc>
          <w:tcPr>
            <w:tcW w:w="274" w:type="dxa"/>
            <w:tcBorders>
              <w:top w:val="nil"/>
              <w:left w:val="nil"/>
              <w:bottom w:val="nil"/>
              <w:right w:val="nil"/>
            </w:tcBorders>
          </w:tcPr>
          <w:p w:rsidR="00DF26C1" w:rsidRDefault="00DF26C1" w:rsidP="007B6DBD">
            <w:pPr>
              <w:pStyle w:val="TableParagraph"/>
              <w:kinsoku w:val="0"/>
              <w:overflowPunct w:val="0"/>
              <w:ind w:left="64"/>
            </w:pPr>
            <w:r>
              <w:rPr>
                <w:rFonts w:ascii="Arial" w:hAnsi="Arial" w:cs="Arial"/>
                <w:w w:val="105"/>
                <w:sz w:val="9"/>
                <w:szCs w:val="9"/>
              </w:rPr>
              <w:t>2,48</w:t>
            </w:r>
          </w:p>
        </w:tc>
        <w:tc>
          <w:tcPr>
            <w:tcW w:w="350" w:type="dxa"/>
            <w:tcBorders>
              <w:top w:val="nil"/>
              <w:left w:val="nil"/>
              <w:bottom w:val="nil"/>
              <w:right w:val="nil"/>
            </w:tcBorders>
          </w:tcPr>
          <w:p w:rsidR="00DF26C1" w:rsidRDefault="00DF26C1" w:rsidP="007B6DBD">
            <w:pPr>
              <w:pStyle w:val="TableParagraph"/>
              <w:kinsoku w:val="0"/>
              <w:overflowPunct w:val="0"/>
              <w:ind w:left="30"/>
            </w:pPr>
            <w:r>
              <w:rPr>
                <w:rFonts w:ascii="Arial" w:hAnsi="Arial" w:cs="Arial"/>
                <w:w w:val="105"/>
                <w:sz w:val="9"/>
                <w:szCs w:val="9"/>
              </w:rPr>
              <w:t>100,00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ind w:left="86"/>
            </w:pPr>
            <w:r>
              <w:rPr>
                <w:rFonts w:ascii="Arial" w:hAnsi="Arial" w:cs="Arial"/>
                <w:w w:val="105"/>
                <w:sz w:val="9"/>
                <w:szCs w:val="9"/>
              </w:rPr>
              <w:t>33</w:t>
            </w:r>
          </w:p>
        </w:tc>
        <w:tc>
          <w:tcPr>
            <w:tcW w:w="253" w:type="dxa"/>
            <w:tcBorders>
              <w:top w:val="nil"/>
              <w:left w:val="nil"/>
              <w:bottom w:val="nil"/>
              <w:right w:val="nil"/>
            </w:tcBorders>
          </w:tcPr>
          <w:p w:rsidR="00DF26C1" w:rsidRDefault="00DF26C1" w:rsidP="007B6DBD">
            <w:pPr>
              <w:pStyle w:val="TableParagraph"/>
              <w:kinsoku w:val="0"/>
              <w:overflowPunct w:val="0"/>
              <w:ind w:left="70"/>
            </w:pPr>
            <w:r>
              <w:rPr>
                <w:rFonts w:ascii="Arial" w:hAnsi="Arial" w:cs="Arial"/>
                <w:w w:val="105"/>
                <w:sz w:val="9"/>
                <w:szCs w:val="9"/>
              </w:rPr>
              <w:t>367</w:t>
            </w:r>
          </w:p>
        </w:tc>
        <w:tc>
          <w:tcPr>
            <w:tcW w:w="245" w:type="dxa"/>
            <w:tcBorders>
              <w:top w:val="nil"/>
              <w:left w:val="nil"/>
              <w:bottom w:val="nil"/>
              <w:right w:val="nil"/>
            </w:tcBorders>
          </w:tcPr>
          <w:p w:rsidR="00DF26C1" w:rsidRDefault="00DF26C1" w:rsidP="007B6DBD">
            <w:pPr>
              <w:pStyle w:val="TableParagraph"/>
              <w:kinsoku w:val="0"/>
              <w:overflowPunct w:val="0"/>
              <w:ind w:left="115"/>
            </w:pPr>
            <w:r>
              <w:rPr>
                <w:rFonts w:ascii="Arial" w:hAnsi="Arial" w:cs="Arial"/>
                <w:w w:val="105"/>
                <w:sz w:val="9"/>
                <w:szCs w:val="9"/>
              </w:rPr>
              <w:t>18</w:t>
            </w:r>
          </w:p>
        </w:tc>
        <w:tc>
          <w:tcPr>
            <w:tcW w:w="259" w:type="dxa"/>
            <w:tcBorders>
              <w:top w:val="nil"/>
              <w:left w:val="nil"/>
              <w:bottom w:val="nil"/>
              <w:right w:val="nil"/>
            </w:tcBorders>
          </w:tcPr>
          <w:p w:rsidR="00DF26C1" w:rsidRDefault="00DF26C1" w:rsidP="007B6DBD">
            <w:pPr>
              <w:pStyle w:val="TableParagraph"/>
              <w:kinsoku w:val="0"/>
              <w:overflowPunct w:val="0"/>
              <w:ind w:left="129"/>
            </w:pPr>
            <w:r>
              <w:rPr>
                <w:rFonts w:ascii="Arial" w:hAnsi="Arial" w:cs="Arial"/>
                <w:w w:val="105"/>
                <w:sz w:val="9"/>
                <w:szCs w:val="9"/>
              </w:rPr>
              <w:t>92</w:t>
            </w:r>
          </w:p>
        </w:tc>
        <w:tc>
          <w:tcPr>
            <w:tcW w:w="223" w:type="dxa"/>
            <w:tcBorders>
              <w:top w:val="nil"/>
              <w:left w:val="nil"/>
              <w:bottom w:val="nil"/>
              <w:right w:val="nil"/>
            </w:tcBorders>
          </w:tcPr>
          <w:p w:rsidR="00DF26C1" w:rsidRDefault="00DF26C1" w:rsidP="007B6DBD">
            <w:pPr>
              <w:pStyle w:val="TableParagraph"/>
              <w:kinsoku w:val="0"/>
              <w:overflowPunct w:val="0"/>
              <w:ind w:left="9"/>
              <w:jc w:val="center"/>
            </w:pPr>
            <w:r>
              <w:rPr>
                <w:rFonts w:ascii="Arial" w:hAnsi="Arial" w:cs="Arial"/>
                <w:w w:val="106"/>
                <w:sz w:val="9"/>
                <w:szCs w:val="9"/>
              </w:rPr>
              <w:t>6</w:t>
            </w:r>
          </w:p>
        </w:tc>
        <w:tc>
          <w:tcPr>
            <w:tcW w:w="281" w:type="dxa"/>
            <w:tcBorders>
              <w:top w:val="nil"/>
              <w:left w:val="nil"/>
              <w:bottom w:val="nil"/>
              <w:right w:val="nil"/>
            </w:tcBorders>
          </w:tcPr>
          <w:p w:rsidR="00DF26C1" w:rsidRDefault="00DF26C1" w:rsidP="007B6DBD">
            <w:pPr>
              <w:pStyle w:val="TableParagraph"/>
              <w:kinsoku w:val="0"/>
              <w:overflowPunct w:val="0"/>
              <w:ind w:left="99"/>
            </w:pPr>
            <w:r>
              <w:rPr>
                <w:rFonts w:ascii="Arial" w:hAnsi="Arial" w:cs="Arial"/>
                <w:w w:val="105"/>
                <w:sz w:val="9"/>
                <w:szCs w:val="9"/>
              </w:rPr>
              <w:t>383</w:t>
            </w:r>
          </w:p>
        </w:tc>
        <w:tc>
          <w:tcPr>
            <w:tcW w:w="231" w:type="dxa"/>
            <w:tcBorders>
              <w:top w:val="nil"/>
              <w:left w:val="nil"/>
              <w:bottom w:val="nil"/>
              <w:right w:val="nil"/>
            </w:tcBorders>
          </w:tcPr>
          <w:p w:rsidR="00DF26C1" w:rsidRDefault="00DF26C1" w:rsidP="007B6DBD">
            <w:pPr>
              <w:pStyle w:val="TableParagraph"/>
              <w:kinsoku w:val="0"/>
              <w:overflowPunct w:val="0"/>
              <w:ind w:left="22"/>
            </w:pPr>
            <w:r>
              <w:rPr>
                <w:rFonts w:ascii="Arial" w:hAnsi="Arial" w:cs="Arial"/>
                <w:w w:val="105"/>
                <w:sz w:val="9"/>
                <w:szCs w:val="9"/>
              </w:rPr>
              <w:t>3,98</w:t>
            </w:r>
          </w:p>
        </w:tc>
        <w:tc>
          <w:tcPr>
            <w:tcW w:w="255"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24</w:t>
            </w:r>
          </w:p>
        </w:tc>
        <w:tc>
          <w:tcPr>
            <w:tcW w:w="302"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44,7</w:t>
            </w:r>
          </w:p>
        </w:tc>
        <w:tc>
          <w:tcPr>
            <w:tcW w:w="259" w:type="dxa"/>
            <w:tcBorders>
              <w:top w:val="nil"/>
              <w:left w:val="nil"/>
              <w:bottom w:val="nil"/>
              <w:right w:val="nil"/>
            </w:tcBorders>
          </w:tcPr>
          <w:p w:rsidR="00DF26C1" w:rsidRDefault="00DF26C1" w:rsidP="007B6DBD">
            <w:pPr>
              <w:pStyle w:val="TableParagraph"/>
              <w:kinsoku w:val="0"/>
              <w:overflowPunct w:val="0"/>
              <w:ind w:left="49"/>
            </w:pPr>
            <w:r>
              <w:rPr>
                <w:rFonts w:ascii="Arial" w:hAnsi="Arial" w:cs="Arial"/>
                <w:w w:val="105"/>
                <w:sz w:val="9"/>
                <w:szCs w:val="9"/>
              </w:rPr>
              <w:t>23,5</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ind w:left="-11"/>
            </w:pPr>
            <w:r>
              <w:rPr>
                <w:rFonts w:ascii="Arial" w:hAnsi="Arial" w:cs="Arial"/>
                <w:w w:val="105"/>
                <w:sz w:val="9"/>
                <w:szCs w:val="9"/>
              </w:rPr>
              <w:t>5,2</w:t>
            </w:r>
          </w:p>
        </w:tc>
        <w:tc>
          <w:tcPr>
            <w:tcW w:w="250"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1,4</w:t>
            </w:r>
          </w:p>
        </w:tc>
        <w:tc>
          <w:tcPr>
            <w:tcW w:w="248"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5,9</w:t>
            </w:r>
          </w:p>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2,4</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ind w:left="-11"/>
            </w:pPr>
            <w:r>
              <w:rPr>
                <w:rFonts w:ascii="Arial" w:hAnsi="Arial" w:cs="Arial"/>
                <w:w w:val="105"/>
                <w:sz w:val="9"/>
                <w:szCs w:val="9"/>
              </w:rPr>
              <w:t>15</w:t>
            </w:r>
          </w:p>
        </w:tc>
        <w:tc>
          <w:tcPr>
            <w:tcW w:w="225" w:type="dxa"/>
            <w:tcBorders>
              <w:top w:val="nil"/>
              <w:left w:val="nil"/>
              <w:bottom w:val="nil"/>
              <w:right w:val="nil"/>
            </w:tcBorders>
          </w:tcPr>
          <w:p w:rsidR="00DF26C1" w:rsidRDefault="00DF26C1" w:rsidP="007B6DBD">
            <w:pPr>
              <w:pStyle w:val="TableParagraph"/>
              <w:kinsoku w:val="0"/>
              <w:overflowPunct w:val="0"/>
              <w:ind w:left="145"/>
            </w:pPr>
            <w:r>
              <w:rPr>
                <w:rFonts w:ascii="Arial" w:hAnsi="Arial" w:cs="Arial"/>
                <w:w w:val="106"/>
                <w:sz w:val="9"/>
                <w:szCs w:val="9"/>
              </w:rPr>
              <w:t>6</w:t>
            </w:r>
          </w:p>
        </w:tc>
        <w:tc>
          <w:tcPr>
            <w:tcW w:w="625" w:type="dxa"/>
            <w:tcBorders>
              <w:top w:val="nil"/>
              <w:left w:val="nil"/>
              <w:bottom w:val="nil"/>
              <w:right w:val="nil"/>
            </w:tcBorders>
          </w:tcPr>
          <w:p w:rsidR="00DF26C1" w:rsidRDefault="00DF26C1" w:rsidP="007B6DBD">
            <w:pPr>
              <w:pStyle w:val="TableParagraph"/>
              <w:kinsoku w:val="0"/>
              <w:overflowPunct w:val="0"/>
              <w:ind w:left="255"/>
            </w:pPr>
            <w:r>
              <w:rPr>
                <w:rFonts w:ascii="Arial" w:hAnsi="Arial" w:cs="Arial"/>
                <w:w w:val="105"/>
                <w:sz w:val="9"/>
                <w:szCs w:val="9"/>
              </w:rPr>
              <w:t>0,70795</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 Sarroch</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
              <w:jc w:val="center"/>
            </w:pPr>
            <w:r>
              <w:rPr>
                <w:rFonts w:ascii="Arial" w:hAnsi="Arial" w:cs="Arial"/>
                <w:w w:val="106"/>
                <w:sz w:val="9"/>
                <w:szCs w:val="9"/>
              </w:rPr>
              <w:t>5</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SH-48</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11</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60,19</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0,61</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17,99</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2,61</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3,22</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0,16</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2,20</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7,94</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3,08</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1,20</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0,15</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0,66</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100,01</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54</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315</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21</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105</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4</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495</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2,76</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20,1</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39,7</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18,1</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3,9</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1,17</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4,20</w:t>
            </w:r>
          </w:p>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2,46</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13</w:t>
            </w:r>
          </w:p>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0,70768</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w:t>
            </w:r>
            <w:r>
              <w:rPr>
                <w:rFonts w:ascii="Arial" w:hAnsi="Arial" w:cs="Arial"/>
                <w:spacing w:val="-4"/>
                <w:w w:val="105"/>
                <w:sz w:val="9"/>
                <w:szCs w:val="9"/>
              </w:rPr>
              <w:t xml:space="preserve"> </w:t>
            </w:r>
            <w:r>
              <w:rPr>
                <w:rFonts w:ascii="Arial" w:hAnsi="Arial" w:cs="Arial"/>
                <w:w w:val="105"/>
                <w:sz w:val="9"/>
                <w:szCs w:val="9"/>
              </w:rPr>
              <w:t>Bosano</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
              <w:jc w:val="center"/>
            </w:pPr>
            <w:r>
              <w:rPr>
                <w:rFonts w:ascii="Arial" w:hAnsi="Arial" w:cs="Arial"/>
                <w:w w:val="106"/>
                <w:sz w:val="9"/>
                <w:szCs w:val="9"/>
              </w:rPr>
              <w:t>8</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w:t>
            </w:r>
            <w:r>
              <w:rPr>
                <w:rFonts w:ascii="Arial" w:hAnsi="Arial" w:cs="Arial"/>
                <w:spacing w:val="-9"/>
                <w:w w:val="105"/>
                <w:sz w:val="9"/>
                <w:szCs w:val="9"/>
              </w:rPr>
              <w:t xml:space="preserve"> </w:t>
            </w: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A530</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70"/>
            </w:pPr>
            <w:r>
              <w:rPr>
                <w:rFonts w:ascii="Arial" w:hAnsi="Arial" w:cs="Arial"/>
                <w:w w:val="105"/>
                <w:sz w:val="9"/>
                <w:szCs w:val="9"/>
              </w:rPr>
              <w:t>Ol-Aq</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0"/>
              <w:jc w:val="center"/>
            </w:pPr>
            <w:r>
              <w:rPr>
                <w:rFonts w:ascii="Arial" w:hAnsi="Arial" w:cs="Arial"/>
                <w:w w:val="106"/>
                <w:sz w:val="9"/>
                <w:szCs w:val="9"/>
              </w:rPr>
              <w:t>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53,5</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0,84</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20,18</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1,21</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7,3</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3,6</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9,52</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3,05</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1,1</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134"/>
            </w:pPr>
            <w:r>
              <w:rPr>
                <w:rFonts w:ascii="Arial" w:hAnsi="Arial" w:cs="Arial"/>
                <w:w w:val="105"/>
                <w:sz w:val="9"/>
                <w:szCs w:val="9"/>
              </w:rPr>
              <w:t>0,3</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0,83</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101,5</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26</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325</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75</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6</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203</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54"/>
            </w:pPr>
            <w:r>
              <w:rPr>
                <w:rFonts w:ascii="Arial" w:hAnsi="Arial" w:cs="Arial"/>
                <w:w w:val="106"/>
                <w:sz w:val="9"/>
                <w:szCs w:val="9"/>
              </w:rPr>
              <w:t>2</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11</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29</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14</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37</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w:t>
            </w:r>
            <w:r>
              <w:rPr>
                <w:rFonts w:ascii="Arial" w:hAnsi="Arial" w:cs="Arial"/>
                <w:spacing w:val="-3"/>
                <w:w w:val="105"/>
                <w:sz w:val="9"/>
                <w:szCs w:val="9"/>
              </w:rPr>
              <w:t xml:space="preserve"> </w:t>
            </w:r>
            <w:r>
              <w:rPr>
                <w:rFonts w:ascii="Arial" w:hAnsi="Arial" w:cs="Arial"/>
                <w:w w:val="105"/>
                <w:sz w:val="9"/>
                <w:szCs w:val="9"/>
              </w:rPr>
              <w:t>Arcuentu</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21</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w:t>
            </w:r>
            <w:r>
              <w:rPr>
                <w:rFonts w:ascii="Arial" w:hAnsi="Arial" w:cs="Arial"/>
                <w:spacing w:val="-9"/>
                <w:w w:val="105"/>
                <w:sz w:val="9"/>
                <w:szCs w:val="9"/>
              </w:rPr>
              <w:t xml:space="preserve"> </w:t>
            </w: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133"/>
            </w:pPr>
            <w:r>
              <w:rPr>
                <w:rFonts w:ascii="Arial" w:hAnsi="Arial" w:cs="Arial"/>
                <w:w w:val="105"/>
                <w:sz w:val="9"/>
                <w:szCs w:val="9"/>
              </w:rPr>
              <w:t>breccia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ST81</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15</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12"/>
            </w:pPr>
            <w:r>
              <w:rPr>
                <w:rFonts w:ascii="Arial" w:hAnsi="Arial" w:cs="Arial"/>
                <w:w w:val="105"/>
                <w:sz w:val="9"/>
                <w:szCs w:val="9"/>
              </w:rPr>
              <w:t>56,45</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0,85</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16,84</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7,88</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0,15</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5,33</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8,89</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2,18</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9"/>
            </w:pPr>
            <w:r>
              <w:rPr>
                <w:rFonts w:ascii="Arial" w:hAnsi="Arial" w:cs="Arial"/>
                <w:w w:val="105"/>
                <w:sz w:val="9"/>
                <w:szCs w:val="9"/>
              </w:rPr>
              <w:t>1,47</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0,17</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0,68</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100,89</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47</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39"/>
            </w:pPr>
            <w:r>
              <w:rPr>
                <w:rFonts w:ascii="Arial" w:hAnsi="Arial" w:cs="Arial"/>
                <w:w w:val="105"/>
                <w:sz w:val="9"/>
                <w:szCs w:val="9"/>
              </w:rPr>
              <w:t>263</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28</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142</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25"/>
            </w:pPr>
            <w:r>
              <w:rPr>
                <w:rFonts w:ascii="Arial" w:hAnsi="Arial" w:cs="Arial"/>
                <w:w w:val="106"/>
                <w:sz w:val="9"/>
                <w:szCs w:val="9"/>
              </w:rPr>
              <w:t>8</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2"/>
            </w:pPr>
            <w:r>
              <w:rPr>
                <w:rFonts w:ascii="Arial" w:hAnsi="Arial" w:cs="Arial"/>
                <w:w w:val="105"/>
                <w:sz w:val="9"/>
                <w:szCs w:val="9"/>
              </w:rPr>
              <w:t>599</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24"/>
            </w:pPr>
            <w:r>
              <w:rPr>
                <w:rFonts w:ascii="Arial" w:hAnsi="Arial" w:cs="Arial"/>
                <w:w w:val="105"/>
                <w:sz w:val="9"/>
                <w:szCs w:val="9"/>
              </w:rPr>
              <w:t>7,3</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25,3</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55,3</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26,9</w:t>
            </w:r>
          </w:p>
        </w:tc>
        <w:tc>
          <w:tcPr>
            <w:tcW w:w="147" w:type="dxa"/>
            <w:tcBorders>
              <w:top w:val="nil"/>
              <w:left w:val="nil"/>
              <w:bottom w:val="nil"/>
              <w:right w:val="nil"/>
            </w:tcBorders>
          </w:tcPr>
          <w:p w:rsidR="00DF26C1" w:rsidRDefault="00DF26C1" w:rsidP="007B6DBD">
            <w:pPr>
              <w:pStyle w:val="TableParagraph"/>
              <w:kinsoku w:val="0"/>
              <w:overflowPunct w:val="0"/>
              <w:spacing w:before="4"/>
              <w:ind w:left="23" w:right="-11"/>
            </w:pPr>
            <w:r>
              <w:rPr>
                <w:rFonts w:ascii="Arial" w:hAnsi="Arial" w:cs="Arial"/>
                <w:w w:val="105"/>
                <w:sz w:val="9"/>
                <w:szCs w:val="9"/>
              </w:rPr>
              <w:t>5,0</w:t>
            </w:r>
          </w:p>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1,13</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5,20</w:t>
            </w:r>
          </w:p>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2,34</w:t>
            </w:r>
          </w:p>
        </w:tc>
        <w:tc>
          <w:tcPr>
            <w:tcW w:w="118" w:type="dxa"/>
            <w:tcBorders>
              <w:top w:val="nil"/>
              <w:left w:val="nil"/>
              <w:bottom w:val="nil"/>
              <w:right w:val="nil"/>
            </w:tcBorders>
          </w:tcPr>
          <w:p w:rsidR="00DF26C1" w:rsidRDefault="00DF26C1" w:rsidP="007B6DBD">
            <w:pPr>
              <w:pStyle w:val="TableParagraph"/>
              <w:kinsoku w:val="0"/>
              <w:overflowPunct w:val="0"/>
              <w:spacing w:before="4"/>
              <w:ind w:left="23" w:right="-11"/>
            </w:pPr>
            <w:r>
              <w:rPr>
                <w:rFonts w:ascii="Arial" w:hAnsi="Arial" w:cs="Arial"/>
                <w:spacing w:val="-1"/>
                <w:w w:val="105"/>
                <w:sz w:val="9"/>
                <w:szCs w:val="9"/>
              </w:rPr>
              <w:t>17</w:t>
            </w:r>
          </w:p>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pPr>
              <w:pStyle w:val="TableParagraph"/>
              <w:kinsoku w:val="0"/>
              <w:overflowPunct w:val="0"/>
              <w:spacing w:before="4"/>
              <w:ind w:left="35"/>
            </w:pPr>
            <w:r>
              <w:rPr>
                <w:rFonts w:ascii="Arial" w:hAnsi="Arial" w:cs="Arial"/>
                <w:w w:val="105"/>
                <w:sz w:val="9"/>
                <w:szCs w:val="9"/>
              </w:rPr>
              <w:t>93</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0,71072</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0,512185</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w:t>
            </w:r>
            <w:r>
              <w:rPr>
                <w:rFonts w:ascii="Arial" w:hAnsi="Arial" w:cs="Arial"/>
                <w:spacing w:val="-3"/>
                <w:w w:val="105"/>
                <w:sz w:val="9"/>
                <w:szCs w:val="9"/>
              </w:rPr>
              <w:t xml:space="preserve"> </w:t>
            </w:r>
            <w:r>
              <w:rPr>
                <w:rFonts w:ascii="Arial" w:hAnsi="Arial" w:cs="Arial"/>
                <w:w w:val="105"/>
                <w:sz w:val="9"/>
                <w:szCs w:val="9"/>
              </w:rPr>
              <w:t>Arcuentu</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21</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ST138</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15</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62,64</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0,78</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16,06</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5,30</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0,08</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2,59</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5,64</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2,83</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2,88</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0,12</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1,40</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100,32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132</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180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31</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168</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11</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545</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11,8</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27,4</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57,0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26,1</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5,0</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0,99</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4,84</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4,65</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2,48</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21</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43</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0,71025</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0,512248</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w:t>
            </w:r>
            <w:r>
              <w:rPr>
                <w:rFonts w:ascii="Arial" w:hAnsi="Arial" w:cs="Arial"/>
                <w:spacing w:val="-3"/>
                <w:w w:val="105"/>
                <w:sz w:val="9"/>
                <w:szCs w:val="9"/>
              </w:rPr>
              <w:t xml:space="preserve"> </w:t>
            </w:r>
            <w:r>
              <w:rPr>
                <w:rFonts w:ascii="Arial" w:hAnsi="Arial" w:cs="Arial"/>
                <w:w w:val="105"/>
                <w:sz w:val="9"/>
                <w:szCs w:val="9"/>
              </w:rPr>
              <w:t>Arcuentu</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21</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basalt</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201"/>
            </w:pPr>
            <w:r>
              <w:rPr>
                <w:rFonts w:ascii="Arial" w:hAnsi="Arial" w:cs="Arial"/>
                <w:w w:val="105"/>
                <w:sz w:val="9"/>
                <w:szCs w:val="9"/>
              </w:rPr>
              <w:t>dike</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ST46</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15</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50,52</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0,57</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14,39</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87"/>
            </w:pPr>
            <w:r>
              <w:rPr>
                <w:rFonts w:ascii="Arial" w:hAnsi="Arial" w:cs="Arial"/>
                <w:w w:val="105"/>
                <w:sz w:val="9"/>
                <w:szCs w:val="9"/>
              </w:rPr>
              <w:t>10,49</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0,18</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9,94</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9,90</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1,86</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0,58</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0,09</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0,72</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99,24</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45"/>
            </w:pPr>
            <w:r>
              <w:rPr>
                <w:rFonts w:ascii="Arial" w:hAnsi="Arial" w:cs="Arial"/>
                <w:w w:val="105"/>
                <w:sz w:val="9"/>
                <w:szCs w:val="9"/>
              </w:rPr>
              <w:t>18,1</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193</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35"/>
            </w:pPr>
            <w:r>
              <w:rPr>
                <w:rFonts w:ascii="Arial" w:hAnsi="Arial" w:cs="Arial"/>
                <w:w w:val="105"/>
                <w:sz w:val="9"/>
                <w:szCs w:val="9"/>
              </w:rPr>
              <w:t>15,4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37,0</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1,8</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9"/>
            </w:pPr>
            <w:r>
              <w:rPr>
                <w:rFonts w:ascii="Arial" w:hAnsi="Arial" w:cs="Arial"/>
                <w:w w:val="105"/>
                <w:sz w:val="9"/>
                <w:szCs w:val="9"/>
              </w:rPr>
              <w:t>128,0</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2,2</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4,6</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11,4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02"/>
            </w:pPr>
            <w:r>
              <w:rPr>
                <w:rFonts w:ascii="Arial" w:hAnsi="Arial" w:cs="Arial"/>
                <w:w w:val="105"/>
                <w:sz w:val="9"/>
                <w:szCs w:val="9"/>
              </w:rPr>
              <w:t>6,4</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1,79</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0,61</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1,44</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148</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268</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0,70545</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0,70538</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0,51269</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w:t>
            </w:r>
            <w:r>
              <w:rPr>
                <w:rFonts w:ascii="Arial" w:hAnsi="Arial" w:cs="Arial"/>
                <w:spacing w:val="-3"/>
                <w:w w:val="105"/>
                <w:sz w:val="9"/>
                <w:szCs w:val="9"/>
              </w:rPr>
              <w:t xml:space="preserve"> </w:t>
            </w:r>
            <w:r>
              <w:rPr>
                <w:rFonts w:ascii="Arial" w:hAnsi="Arial" w:cs="Arial"/>
                <w:w w:val="105"/>
                <w:sz w:val="9"/>
                <w:szCs w:val="9"/>
              </w:rPr>
              <w:t>Arcuentu</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21</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6"/>
                <w:sz w:val="9"/>
                <w:szCs w:val="9"/>
              </w:rPr>
              <w: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AR2b;</w:t>
            </w:r>
            <w:r>
              <w:rPr>
                <w:rFonts w:ascii="Arial" w:hAnsi="Arial" w:cs="Arial"/>
                <w:spacing w:val="2"/>
                <w:w w:val="105"/>
                <w:sz w:val="9"/>
                <w:szCs w:val="9"/>
              </w:rPr>
              <w:t xml:space="preserve"> </w:t>
            </w:r>
            <w:r>
              <w:rPr>
                <w:rFonts w:ascii="Arial" w:hAnsi="Arial" w:cs="Arial"/>
                <w:w w:val="105"/>
                <w:sz w:val="9"/>
                <w:szCs w:val="9"/>
              </w:rPr>
              <w:t>a501</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4; 10</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50,58</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1,03</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17,90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1,49</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8,96</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0,19</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5,52</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10,3</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2,07</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0,80</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0,30</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1,99</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101,17</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19</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291</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58</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5</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143</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6"/>
                <w:sz w:val="9"/>
                <w:szCs w:val="9"/>
              </w:rPr>
              <w:t>7</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16</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15</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48</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w:t>
            </w:r>
            <w:r>
              <w:rPr>
                <w:rFonts w:ascii="Arial" w:hAnsi="Arial" w:cs="Arial"/>
                <w:spacing w:val="-3"/>
                <w:w w:val="105"/>
                <w:sz w:val="9"/>
                <w:szCs w:val="9"/>
              </w:rPr>
              <w:t xml:space="preserve"> </w:t>
            </w:r>
            <w:r>
              <w:rPr>
                <w:rFonts w:ascii="Arial" w:hAnsi="Arial" w:cs="Arial"/>
                <w:w w:val="105"/>
                <w:sz w:val="9"/>
                <w:szCs w:val="9"/>
              </w:rPr>
              <w:t>Arcuentu</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21</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6"/>
                <w:sz w:val="9"/>
                <w:szCs w:val="9"/>
              </w:rPr>
              <w: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AR</w:t>
            </w:r>
            <w:r>
              <w:rPr>
                <w:rFonts w:ascii="Arial" w:hAnsi="Arial" w:cs="Arial"/>
                <w:spacing w:val="2"/>
                <w:w w:val="105"/>
                <w:sz w:val="9"/>
                <w:szCs w:val="9"/>
              </w:rPr>
              <w:t xml:space="preserve"> </w:t>
            </w:r>
            <w:r>
              <w:rPr>
                <w:rFonts w:ascii="Arial" w:hAnsi="Arial" w:cs="Arial"/>
                <w:w w:val="105"/>
                <w:sz w:val="9"/>
                <w:szCs w:val="9"/>
              </w:rPr>
              <w:t>280</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18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51,11</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0,75</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15,21</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9,76</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0,18</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9,28</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10,0</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1,96</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0,54</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0,09</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1,09</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45"/>
            </w:pPr>
            <w:r>
              <w:rPr>
                <w:rFonts w:ascii="Arial" w:hAnsi="Arial" w:cs="Arial"/>
                <w:w w:val="105"/>
                <w:sz w:val="9"/>
                <w:szCs w:val="9"/>
              </w:rPr>
              <w:t>13,3</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192</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35"/>
            </w:pPr>
            <w:r>
              <w:rPr>
                <w:rFonts w:ascii="Arial" w:hAnsi="Arial" w:cs="Arial"/>
                <w:w w:val="105"/>
                <w:sz w:val="9"/>
                <w:szCs w:val="9"/>
              </w:rPr>
              <w:t>17,5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50,4</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2,4</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9"/>
            </w:pPr>
            <w:r>
              <w:rPr>
                <w:rFonts w:ascii="Arial" w:hAnsi="Arial" w:cs="Arial"/>
                <w:w w:val="105"/>
                <w:sz w:val="9"/>
                <w:szCs w:val="9"/>
              </w:rPr>
              <w:t>153,0</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2,2</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6,55</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14,10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7,91</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2,20</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0,78</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2,58</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2,91</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1,76</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116</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701</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0,70631</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0,70625</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0,51260</w:t>
            </w:r>
          </w:p>
        </w:tc>
        <w:tc>
          <w:tcPr>
            <w:tcW w:w="359"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18,609</w:t>
            </w:r>
          </w:p>
        </w:tc>
        <w:tc>
          <w:tcPr>
            <w:tcW w:w="358" w:type="dxa"/>
            <w:tcBorders>
              <w:top w:val="nil"/>
              <w:left w:val="nil"/>
              <w:bottom w:val="nil"/>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15,651</w:t>
            </w:r>
          </w:p>
        </w:tc>
        <w:tc>
          <w:tcPr>
            <w:tcW w:w="347"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38,697</w:t>
            </w:r>
          </w:p>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spacing w:val="-1"/>
                <w:w w:val="105"/>
                <w:sz w:val="9"/>
                <w:szCs w:val="9"/>
              </w:rPr>
              <w:t>";</w:t>
            </w:r>
            <w:r>
              <w:rPr>
                <w:rFonts w:ascii="Arial" w:hAnsi="Arial" w:cs="Arial"/>
                <w:spacing w:val="19"/>
                <w:w w:val="105"/>
                <w:sz w:val="9"/>
                <w:szCs w:val="9"/>
              </w:rPr>
              <w:t xml:space="preserve"> </w:t>
            </w:r>
            <w:r>
              <w:rPr>
                <w:rFonts w:ascii="Arial" w:hAnsi="Arial" w:cs="Arial"/>
                <w:spacing w:val="-2"/>
                <w:w w:val="105"/>
                <w:sz w:val="9"/>
                <w:szCs w:val="9"/>
              </w:rPr>
              <w:t>Villanovaforru</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21</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6"/>
                <w:sz w:val="9"/>
                <w:szCs w:val="9"/>
              </w:rPr>
              <w:t>"</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95"/>
            </w:pPr>
            <w:r>
              <w:rPr>
                <w:rFonts w:ascii="Arial" w:hAnsi="Arial" w:cs="Arial"/>
                <w:w w:val="105"/>
                <w:sz w:val="9"/>
                <w:szCs w:val="9"/>
              </w:rPr>
              <w:t>porphyric</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low-K</w:t>
            </w:r>
            <w:r>
              <w:rPr>
                <w:rFonts w:ascii="Arial" w:hAnsi="Arial" w:cs="Arial"/>
                <w:spacing w:val="1"/>
                <w:w w:val="105"/>
                <w:sz w:val="9"/>
                <w:szCs w:val="9"/>
              </w:rPr>
              <w:t xml:space="preserve"> </w:t>
            </w:r>
            <w:r>
              <w:rPr>
                <w:rFonts w:ascii="Arial" w:hAnsi="Arial" w:cs="Arial"/>
                <w:w w:val="105"/>
                <w:sz w:val="9"/>
                <w:szCs w:val="9"/>
              </w:rPr>
              <w:t>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VF2B</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14</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49,5</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1,57</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14,1</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87"/>
            </w:pPr>
            <w:r>
              <w:rPr>
                <w:rFonts w:ascii="Arial" w:hAnsi="Arial" w:cs="Arial"/>
                <w:w w:val="105"/>
                <w:sz w:val="9"/>
                <w:szCs w:val="9"/>
              </w:rPr>
              <w:t>10,35</w:t>
            </w:r>
          </w:p>
        </w:tc>
        <w:tc>
          <w:tcPr>
            <w:tcW w:w="234" w:type="dxa"/>
            <w:tcBorders>
              <w:top w:val="nil"/>
              <w:left w:val="nil"/>
              <w:bottom w:val="nil"/>
              <w:right w:val="nil"/>
            </w:tcBorders>
          </w:tcPr>
          <w:p w:rsidR="00DF26C1" w:rsidRDefault="00DF26C1" w:rsidP="007B6DBD">
            <w:pPr>
              <w:pStyle w:val="TableParagraph"/>
              <w:kinsoku w:val="0"/>
              <w:overflowPunct w:val="0"/>
              <w:spacing w:before="4"/>
              <w:ind w:right="28"/>
              <w:jc w:val="right"/>
            </w:pPr>
            <w:r>
              <w:rPr>
                <w:rFonts w:ascii="Arial" w:hAnsi="Arial" w:cs="Arial"/>
                <w:w w:val="106"/>
                <w:sz w:val="9"/>
                <w:szCs w:val="9"/>
              </w:rPr>
              <w:t>-</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33"/>
            </w:pPr>
            <w:r>
              <w:rPr>
                <w:rFonts w:ascii="Arial" w:hAnsi="Arial" w:cs="Arial"/>
                <w:w w:val="105"/>
                <w:sz w:val="9"/>
                <w:szCs w:val="9"/>
              </w:rPr>
              <w:t>11</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8,01</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1,81</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1,2</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0,21</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1,46</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98,98</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19</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396</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41</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5</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51"/>
            </w:pPr>
            <w:r>
              <w:rPr>
                <w:rFonts w:ascii="Arial" w:hAnsi="Arial" w:cs="Arial"/>
                <w:w w:val="105"/>
                <w:sz w:val="9"/>
                <w:szCs w:val="9"/>
              </w:rPr>
              <w:t>61</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0,5</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18</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14</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89</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188</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spacing w:val="-1"/>
                <w:w w:val="105"/>
                <w:sz w:val="9"/>
                <w:szCs w:val="9"/>
              </w:rPr>
              <w:t>";</w:t>
            </w:r>
            <w:r>
              <w:rPr>
                <w:rFonts w:ascii="Arial" w:hAnsi="Arial" w:cs="Arial"/>
                <w:spacing w:val="19"/>
                <w:w w:val="105"/>
                <w:sz w:val="9"/>
                <w:szCs w:val="9"/>
              </w:rPr>
              <w:t xml:space="preserve"> </w:t>
            </w:r>
            <w:r>
              <w:rPr>
                <w:rFonts w:ascii="Arial" w:hAnsi="Arial" w:cs="Arial"/>
                <w:spacing w:val="-2"/>
                <w:w w:val="105"/>
                <w:sz w:val="9"/>
                <w:szCs w:val="9"/>
              </w:rPr>
              <w:t>Villanovaforru</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21</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6"/>
                <w:sz w:val="9"/>
                <w:szCs w:val="9"/>
              </w:rPr>
              <w:t>"</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126"/>
            </w:pPr>
            <w:r>
              <w:rPr>
                <w:rFonts w:ascii="Arial" w:hAnsi="Arial" w:cs="Arial"/>
                <w:w w:val="105"/>
                <w:sz w:val="9"/>
                <w:szCs w:val="9"/>
              </w:rPr>
              <w:t>doleritic</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low-K</w:t>
            </w:r>
            <w:r>
              <w:rPr>
                <w:rFonts w:ascii="Arial" w:hAnsi="Arial" w:cs="Arial"/>
                <w:spacing w:val="1"/>
                <w:w w:val="105"/>
                <w:sz w:val="9"/>
                <w:szCs w:val="9"/>
              </w:rPr>
              <w:t xml:space="preserve"> </w:t>
            </w:r>
            <w:r>
              <w:rPr>
                <w:rFonts w:ascii="Arial" w:hAnsi="Arial" w:cs="Arial"/>
                <w:w w:val="105"/>
                <w:sz w:val="9"/>
                <w:szCs w:val="9"/>
              </w:rPr>
              <w:t>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VF2C</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14</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47,1</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1,71</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15,26</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9,51</w:t>
            </w:r>
          </w:p>
        </w:tc>
        <w:tc>
          <w:tcPr>
            <w:tcW w:w="234" w:type="dxa"/>
            <w:tcBorders>
              <w:top w:val="nil"/>
              <w:left w:val="nil"/>
              <w:bottom w:val="nil"/>
              <w:right w:val="nil"/>
            </w:tcBorders>
          </w:tcPr>
          <w:p w:rsidR="00DF26C1" w:rsidRDefault="00DF26C1" w:rsidP="007B6DBD">
            <w:pPr>
              <w:pStyle w:val="TableParagraph"/>
              <w:kinsoku w:val="0"/>
              <w:overflowPunct w:val="0"/>
              <w:spacing w:before="4"/>
              <w:ind w:right="28"/>
              <w:jc w:val="right"/>
            </w:pPr>
            <w:r>
              <w:rPr>
                <w:rFonts w:ascii="Arial" w:hAnsi="Arial" w:cs="Arial"/>
                <w:w w:val="106"/>
                <w:sz w:val="9"/>
                <w:szCs w:val="9"/>
              </w:rPr>
              <w:t>-</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33"/>
            </w:pPr>
            <w:r>
              <w:rPr>
                <w:rFonts w:ascii="Arial" w:hAnsi="Arial" w:cs="Arial"/>
                <w:w w:val="105"/>
                <w:sz w:val="9"/>
                <w:szCs w:val="9"/>
              </w:rPr>
              <w:t>11</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9,89</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2,35</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158"/>
            </w:pPr>
            <w:r>
              <w:rPr>
                <w:rFonts w:ascii="Arial" w:hAnsi="Arial" w:cs="Arial"/>
                <w:w w:val="106"/>
                <w:sz w:val="9"/>
                <w:szCs w:val="9"/>
              </w:rPr>
              <w:t>1</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134"/>
            </w:pPr>
            <w:r>
              <w:rPr>
                <w:rFonts w:ascii="Arial" w:hAnsi="Arial" w:cs="Arial"/>
                <w:w w:val="105"/>
                <w:sz w:val="9"/>
                <w:szCs w:val="9"/>
              </w:rPr>
              <w:t>0,2</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1,15</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99,61</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
              <w:jc w:val="center"/>
            </w:pPr>
            <w:r>
              <w:rPr>
                <w:rFonts w:ascii="Arial" w:hAnsi="Arial" w:cs="Arial"/>
                <w:w w:val="106"/>
                <w:sz w:val="9"/>
                <w:szCs w:val="9"/>
              </w:rPr>
              <w:t>9</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413</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35</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8</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51"/>
            </w:pPr>
            <w:r>
              <w:rPr>
                <w:rFonts w:ascii="Arial" w:hAnsi="Arial" w:cs="Arial"/>
                <w:w w:val="105"/>
                <w:sz w:val="9"/>
                <w:szCs w:val="9"/>
              </w:rPr>
              <w:t>59</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13</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15</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195</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708</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w:t>
            </w:r>
            <w:r>
              <w:rPr>
                <w:rFonts w:ascii="Arial" w:hAnsi="Arial" w:cs="Arial"/>
                <w:spacing w:val="-6"/>
                <w:w w:val="105"/>
                <w:sz w:val="9"/>
                <w:szCs w:val="9"/>
              </w:rPr>
              <w:t xml:space="preserve"> </w:t>
            </w:r>
            <w:r>
              <w:rPr>
                <w:rFonts w:ascii="Arial" w:hAnsi="Arial" w:cs="Arial"/>
                <w:w w:val="105"/>
                <w:sz w:val="9"/>
                <w:szCs w:val="9"/>
              </w:rPr>
              <w:t>Marmilla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21</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6"/>
                <w:sz w:val="9"/>
                <w:szCs w:val="9"/>
              </w:rPr>
              <w: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A</w:t>
            </w:r>
            <w:r>
              <w:rPr>
                <w:rFonts w:ascii="Arial" w:hAnsi="Arial" w:cs="Arial"/>
                <w:spacing w:val="1"/>
                <w:w w:val="105"/>
                <w:sz w:val="9"/>
                <w:szCs w:val="9"/>
              </w:rPr>
              <w:t xml:space="preserve"> </w:t>
            </w:r>
            <w:r>
              <w:rPr>
                <w:rFonts w:ascii="Arial" w:hAnsi="Arial" w:cs="Arial"/>
                <w:w w:val="105"/>
                <w:sz w:val="9"/>
                <w:szCs w:val="9"/>
              </w:rPr>
              <w:t>714-713</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4; 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52,1</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0,76</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17,14</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1,16</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49"/>
            </w:pPr>
            <w:r>
              <w:rPr>
                <w:rFonts w:ascii="Arial" w:hAnsi="Arial" w:cs="Arial"/>
                <w:w w:val="106"/>
                <w:sz w:val="9"/>
                <w:szCs w:val="9"/>
              </w:rPr>
              <w:t>7</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5,9</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10,8</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1,79</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0,3</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0,18</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2,98</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100,2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11</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302</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17</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51</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5</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177</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54"/>
            </w:pPr>
            <w:r>
              <w:rPr>
                <w:rFonts w:ascii="Arial" w:hAnsi="Arial" w:cs="Arial"/>
                <w:w w:val="106"/>
                <w:sz w:val="9"/>
                <w:szCs w:val="9"/>
              </w:rPr>
              <w:t>2</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6"/>
                <w:sz w:val="9"/>
                <w:szCs w:val="9"/>
              </w:rPr>
              <w:t>8</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20</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78</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184</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w:t>
            </w:r>
            <w:r>
              <w:rPr>
                <w:rFonts w:ascii="Arial" w:hAnsi="Arial" w:cs="Arial"/>
                <w:spacing w:val="-5"/>
                <w:w w:val="105"/>
                <w:sz w:val="9"/>
                <w:szCs w:val="9"/>
              </w:rPr>
              <w:t xml:space="preserve"> </w:t>
            </w:r>
            <w:r>
              <w:rPr>
                <w:rFonts w:ascii="Arial" w:hAnsi="Arial" w:cs="Arial"/>
                <w:w w:val="105"/>
                <w:sz w:val="9"/>
                <w:szCs w:val="9"/>
              </w:rPr>
              <w:t>Montresta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1"/>
            </w:pPr>
            <w:r>
              <w:rPr>
                <w:rFonts w:ascii="Arial" w:hAnsi="Arial" w:cs="Arial"/>
                <w:w w:val="105"/>
                <w:sz w:val="9"/>
                <w:szCs w:val="9"/>
              </w:rPr>
              <w:t>21a</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6"/>
                <w:sz w:val="9"/>
                <w:szCs w:val="9"/>
              </w:rPr>
              <w: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thol./HMB</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kb</w:t>
            </w:r>
            <w:r>
              <w:rPr>
                <w:rFonts w:ascii="Arial" w:hAnsi="Arial" w:cs="Arial"/>
                <w:spacing w:val="2"/>
                <w:w w:val="105"/>
                <w:sz w:val="9"/>
                <w:szCs w:val="9"/>
              </w:rPr>
              <w:t xml:space="preserve"> </w:t>
            </w:r>
            <w:r>
              <w:rPr>
                <w:rFonts w:ascii="Arial" w:hAnsi="Arial" w:cs="Arial"/>
                <w:w w:val="105"/>
                <w:sz w:val="9"/>
                <w:szCs w:val="9"/>
              </w:rPr>
              <w:t>24</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6; 12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47,4</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0,79</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15,19</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87"/>
            </w:pPr>
            <w:r>
              <w:rPr>
                <w:rFonts w:ascii="Arial" w:hAnsi="Arial" w:cs="Arial"/>
                <w:w w:val="105"/>
                <w:sz w:val="9"/>
                <w:szCs w:val="9"/>
              </w:rPr>
              <w:t>10,43</w:t>
            </w:r>
          </w:p>
        </w:tc>
        <w:tc>
          <w:tcPr>
            <w:tcW w:w="234" w:type="dxa"/>
            <w:tcBorders>
              <w:top w:val="nil"/>
              <w:left w:val="nil"/>
              <w:bottom w:val="nil"/>
              <w:right w:val="nil"/>
            </w:tcBorders>
          </w:tcPr>
          <w:p w:rsidR="00DF26C1" w:rsidRDefault="00DF26C1" w:rsidP="007B6DBD">
            <w:pPr>
              <w:pStyle w:val="TableParagraph"/>
              <w:kinsoku w:val="0"/>
              <w:overflowPunct w:val="0"/>
              <w:spacing w:before="4"/>
              <w:ind w:right="28"/>
              <w:jc w:val="right"/>
            </w:pPr>
            <w:r>
              <w:rPr>
                <w:rFonts w:ascii="Arial" w:hAnsi="Arial" w:cs="Arial"/>
                <w:w w:val="106"/>
                <w:sz w:val="9"/>
                <w:szCs w:val="9"/>
              </w:rPr>
              <w:t>-</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33"/>
            </w:pPr>
            <w:r>
              <w:rPr>
                <w:rFonts w:ascii="Arial" w:hAnsi="Arial" w:cs="Arial"/>
                <w:w w:val="105"/>
                <w:sz w:val="9"/>
                <w:szCs w:val="9"/>
              </w:rPr>
              <w:t>11</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11,9</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2,14</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0,5</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0,26</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0,32</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71"/>
            </w:pPr>
            <w:r>
              <w:rPr>
                <w:rFonts w:ascii="Arial" w:hAnsi="Arial" w:cs="Arial"/>
                <w:w w:val="105"/>
                <w:sz w:val="9"/>
                <w:szCs w:val="9"/>
              </w:rPr>
              <w:t>7,1</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450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16</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38</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2</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51"/>
            </w:pPr>
            <w:r>
              <w:rPr>
                <w:rFonts w:ascii="Arial" w:hAnsi="Arial" w:cs="Arial"/>
                <w:w w:val="105"/>
                <w:sz w:val="9"/>
                <w:szCs w:val="9"/>
              </w:rPr>
              <w:t>49</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1,1</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4,2</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10,5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7,93</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2,26</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0,8</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2,3</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2,4</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1,43</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229</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793</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0,704140</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0,512740</w:t>
            </w:r>
          </w:p>
        </w:tc>
        <w:tc>
          <w:tcPr>
            <w:tcW w:w="359"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18,703</w:t>
            </w:r>
          </w:p>
        </w:tc>
        <w:tc>
          <w:tcPr>
            <w:tcW w:w="358" w:type="dxa"/>
            <w:tcBorders>
              <w:top w:val="nil"/>
              <w:left w:val="nil"/>
              <w:bottom w:val="nil"/>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15,631</w:t>
            </w:r>
          </w:p>
        </w:tc>
        <w:tc>
          <w:tcPr>
            <w:tcW w:w="347"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38,408</w:t>
            </w:r>
          </w:p>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w:t>
            </w:r>
            <w:r>
              <w:rPr>
                <w:rFonts w:ascii="Arial" w:hAnsi="Arial" w:cs="Arial"/>
                <w:spacing w:val="-5"/>
                <w:w w:val="105"/>
                <w:sz w:val="9"/>
                <w:szCs w:val="9"/>
              </w:rPr>
              <w:t xml:space="preserve"> </w:t>
            </w:r>
            <w:r>
              <w:rPr>
                <w:rFonts w:ascii="Arial" w:hAnsi="Arial" w:cs="Arial"/>
                <w:w w:val="105"/>
                <w:sz w:val="9"/>
                <w:szCs w:val="9"/>
              </w:rPr>
              <w:t>Montresta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1"/>
            </w:pPr>
            <w:r>
              <w:rPr>
                <w:rFonts w:ascii="Arial" w:hAnsi="Arial" w:cs="Arial"/>
                <w:w w:val="105"/>
                <w:sz w:val="9"/>
                <w:szCs w:val="9"/>
              </w:rPr>
              <w:t>21a</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6"/>
                <w:sz w:val="9"/>
                <w:szCs w:val="9"/>
              </w:rPr>
              <w: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HAB/mK-C</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kb2</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14</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47,5</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0,91</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16,55</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87"/>
            </w:pPr>
            <w:r>
              <w:rPr>
                <w:rFonts w:ascii="Arial" w:hAnsi="Arial" w:cs="Arial"/>
                <w:w w:val="105"/>
                <w:sz w:val="9"/>
                <w:szCs w:val="9"/>
              </w:rPr>
              <w:t>11,40</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0,21</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5,95</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11,5</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2,18</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0,90</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0,28</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2,66</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21</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394</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19</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51</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5</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120</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6,9</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16,5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10,6</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2,86</w:t>
            </w:r>
          </w:p>
        </w:tc>
        <w:tc>
          <w:tcPr>
            <w:tcW w:w="250" w:type="dxa"/>
            <w:tcBorders>
              <w:top w:val="nil"/>
              <w:left w:val="nil"/>
              <w:bottom w:val="nil"/>
              <w:right w:val="nil"/>
            </w:tcBorders>
          </w:tcPr>
          <w:p w:rsidR="00DF26C1" w:rsidRDefault="00DF26C1" w:rsidP="007B6DBD">
            <w:pPr>
              <w:pStyle w:val="TableParagraph"/>
              <w:kinsoku w:val="0"/>
              <w:overflowPunct w:val="0"/>
              <w:spacing w:before="4"/>
              <w:ind w:right="21"/>
              <w:jc w:val="right"/>
            </w:pPr>
            <w:r>
              <w:rPr>
                <w:rFonts w:ascii="Arial" w:hAnsi="Arial" w:cs="Arial"/>
                <w:w w:val="106"/>
                <w:sz w:val="9"/>
                <w:szCs w:val="9"/>
              </w:rPr>
              <w:t>1</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2,7</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3,2</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1,9</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41</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95</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1"/>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w:t>
            </w:r>
            <w:r>
              <w:rPr>
                <w:rFonts w:ascii="Arial" w:hAnsi="Arial" w:cs="Arial"/>
                <w:spacing w:val="-6"/>
                <w:w w:val="105"/>
                <w:sz w:val="9"/>
                <w:szCs w:val="9"/>
              </w:rPr>
              <w:t xml:space="preserve"> </w:t>
            </w:r>
            <w:r>
              <w:rPr>
                <w:rFonts w:ascii="Arial" w:hAnsi="Arial" w:cs="Arial"/>
                <w:w w:val="105"/>
                <w:sz w:val="9"/>
                <w:szCs w:val="9"/>
              </w:rPr>
              <w:t>Anglona</w:t>
            </w:r>
          </w:p>
        </w:tc>
        <w:tc>
          <w:tcPr>
            <w:tcW w:w="503" w:type="dxa"/>
            <w:tcBorders>
              <w:top w:val="nil"/>
              <w:left w:val="nil"/>
              <w:bottom w:val="nil"/>
              <w:right w:val="nil"/>
            </w:tcBorders>
          </w:tcPr>
          <w:p w:rsidR="00DF26C1" w:rsidRDefault="00DF26C1" w:rsidP="007B6DBD">
            <w:pPr>
              <w:pStyle w:val="TableParagraph"/>
              <w:kinsoku w:val="0"/>
              <w:overflowPunct w:val="0"/>
              <w:spacing w:before="11"/>
              <w:ind w:left="17"/>
              <w:jc w:val="center"/>
            </w:pPr>
            <w:r>
              <w:rPr>
                <w:rFonts w:ascii="Arial" w:hAnsi="Arial" w:cs="Arial"/>
                <w:w w:val="105"/>
                <w:sz w:val="9"/>
                <w:szCs w:val="9"/>
              </w:rPr>
              <w:t>22</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A540</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0"/>
              <w:jc w:val="center"/>
            </w:pPr>
            <w:r>
              <w:rPr>
                <w:rFonts w:ascii="Arial" w:hAnsi="Arial" w:cs="Arial"/>
                <w:w w:val="106"/>
                <w:sz w:val="9"/>
                <w:szCs w:val="9"/>
              </w:rPr>
              <w:t>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61,6</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0,74</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16,29</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0,92</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5,5</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2,4</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5,1</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2,43</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3,1</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0,21</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3,77</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102,3</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18</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253</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26</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107</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9</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373</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54"/>
            </w:pPr>
            <w:r>
              <w:rPr>
                <w:rFonts w:ascii="Arial" w:hAnsi="Arial" w:cs="Arial"/>
                <w:w w:val="106"/>
                <w:sz w:val="9"/>
                <w:szCs w:val="9"/>
              </w:rPr>
              <w:t>5</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23</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51</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16</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47</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ind w:left="23"/>
            </w:pPr>
            <w:r>
              <w:rPr>
                <w:rFonts w:ascii="Arial" w:hAnsi="Arial" w:cs="Arial"/>
                <w:w w:val="105"/>
                <w:sz w:val="9"/>
                <w:szCs w:val="9"/>
              </w:rPr>
              <w:t>";</w:t>
            </w:r>
            <w:r>
              <w:rPr>
                <w:rFonts w:ascii="Arial" w:hAnsi="Arial" w:cs="Arial"/>
                <w:spacing w:val="-6"/>
                <w:w w:val="105"/>
                <w:sz w:val="9"/>
                <w:szCs w:val="9"/>
              </w:rPr>
              <w:t xml:space="preserve"> </w:t>
            </w:r>
            <w:r>
              <w:rPr>
                <w:rFonts w:ascii="Arial" w:hAnsi="Arial" w:cs="Arial"/>
                <w:w w:val="105"/>
                <w:sz w:val="9"/>
                <w:szCs w:val="9"/>
              </w:rPr>
              <w:t>Anglona</w:t>
            </w:r>
          </w:p>
        </w:tc>
        <w:tc>
          <w:tcPr>
            <w:tcW w:w="503" w:type="dxa"/>
            <w:tcBorders>
              <w:top w:val="nil"/>
              <w:left w:val="nil"/>
              <w:bottom w:val="nil"/>
              <w:right w:val="nil"/>
            </w:tcBorders>
          </w:tcPr>
          <w:p w:rsidR="00DF26C1" w:rsidRDefault="00DF26C1" w:rsidP="007B6DBD">
            <w:pPr>
              <w:pStyle w:val="TableParagraph"/>
              <w:kinsoku w:val="0"/>
              <w:overflowPunct w:val="0"/>
              <w:spacing w:before="7"/>
              <w:ind w:left="17"/>
              <w:jc w:val="center"/>
            </w:pPr>
            <w:r>
              <w:rPr>
                <w:rFonts w:ascii="Arial" w:hAnsi="Arial" w:cs="Arial"/>
                <w:w w:val="105"/>
                <w:sz w:val="9"/>
                <w:szCs w:val="9"/>
              </w:rPr>
              <w:t>22</w:t>
            </w:r>
          </w:p>
        </w:tc>
        <w:tc>
          <w:tcPr>
            <w:tcW w:w="624" w:type="dxa"/>
            <w:tcBorders>
              <w:top w:val="nil"/>
              <w:left w:val="nil"/>
              <w:bottom w:val="nil"/>
              <w:right w:val="nil"/>
            </w:tcBorders>
          </w:tcPr>
          <w:p w:rsidR="00DF26C1" w:rsidRDefault="00DF26C1" w:rsidP="007B6DBD">
            <w:pPr>
              <w:pStyle w:val="TableParagraph"/>
              <w:kinsoku w:val="0"/>
              <w:overflowPunct w:val="0"/>
              <w:ind w:left="16"/>
            </w:pPr>
            <w:r>
              <w:rPr>
                <w:rFonts w:ascii="Arial" w:hAnsi="Arial" w:cs="Arial"/>
                <w:w w:val="105"/>
                <w:sz w:val="9"/>
                <w:szCs w:val="9"/>
              </w:rPr>
              <w:t>latite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ind w:left="6"/>
            </w:pPr>
            <w:r>
              <w:rPr>
                <w:rFonts w:ascii="Arial" w:hAnsi="Arial" w:cs="Arial"/>
                <w:w w:val="105"/>
                <w:sz w:val="9"/>
                <w:szCs w:val="9"/>
              </w:rPr>
              <w:t>Al</w:t>
            </w:r>
            <w:r>
              <w:rPr>
                <w:rFonts w:ascii="Arial" w:hAnsi="Arial" w:cs="Arial"/>
                <w:spacing w:val="-1"/>
                <w:w w:val="105"/>
                <w:sz w:val="9"/>
                <w:szCs w:val="9"/>
              </w:rPr>
              <w:t xml:space="preserve"> </w:t>
            </w:r>
            <w:r>
              <w:rPr>
                <w:rFonts w:ascii="Arial" w:hAnsi="Arial" w:cs="Arial"/>
                <w:w w:val="105"/>
                <w:sz w:val="9"/>
                <w:szCs w:val="9"/>
              </w:rPr>
              <w:t>1</w:t>
            </w:r>
          </w:p>
        </w:tc>
        <w:tc>
          <w:tcPr>
            <w:tcW w:w="437" w:type="dxa"/>
            <w:tcBorders>
              <w:top w:val="nil"/>
              <w:left w:val="nil"/>
              <w:bottom w:val="nil"/>
              <w:right w:val="nil"/>
            </w:tcBorders>
          </w:tcPr>
          <w:p w:rsidR="00DF26C1" w:rsidRDefault="00DF26C1" w:rsidP="007B6DBD">
            <w:pPr>
              <w:pStyle w:val="TableParagraph"/>
              <w:kinsoku w:val="0"/>
              <w:overflowPunct w:val="0"/>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ind w:left="86"/>
            </w:pPr>
            <w:r>
              <w:rPr>
                <w:rFonts w:ascii="Arial" w:hAnsi="Arial" w:cs="Arial"/>
                <w:w w:val="105"/>
                <w:sz w:val="9"/>
                <w:szCs w:val="9"/>
              </w:rPr>
              <w:t>4; 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ind w:left="84"/>
            </w:pPr>
            <w:r>
              <w:rPr>
                <w:rFonts w:ascii="Arial" w:hAnsi="Arial" w:cs="Arial"/>
                <w:w w:val="105"/>
                <w:sz w:val="9"/>
                <w:szCs w:val="9"/>
              </w:rPr>
              <w:t>58,4</w:t>
            </w:r>
          </w:p>
        </w:tc>
        <w:tc>
          <w:tcPr>
            <w:tcW w:w="293"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0,78</w:t>
            </w:r>
          </w:p>
        </w:tc>
        <w:tc>
          <w:tcPr>
            <w:tcW w:w="308" w:type="dxa"/>
            <w:tcBorders>
              <w:top w:val="nil"/>
              <w:left w:val="nil"/>
              <w:bottom w:val="nil"/>
              <w:right w:val="nil"/>
            </w:tcBorders>
          </w:tcPr>
          <w:p w:rsidR="00DF26C1" w:rsidRDefault="00DF26C1" w:rsidP="007B6DBD">
            <w:pPr>
              <w:pStyle w:val="TableParagraph"/>
              <w:kinsoku w:val="0"/>
              <w:overflowPunct w:val="0"/>
              <w:ind w:left="57"/>
            </w:pPr>
            <w:r>
              <w:rPr>
                <w:rFonts w:ascii="Arial" w:hAnsi="Arial" w:cs="Arial"/>
                <w:w w:val="105"/>
                <w:sz w:val="9"/>
                <w:szCs w:val="9"/>
              </w:rPr>
              <w:t>18,37</w:t>
            </w:r>
          </w:p>
        </w:tc>
        <w:tc>
          <w:tcPr>
            <w:tcW w:w="353" w:type="dxa"/>
            <w:tcBorders>
              <w:top w:val="nil"/>
              <w:left w:val="nil"/>
              <w:bottom w:val="nil"/>
              <w:right w:val="nil"/>
            </w:tcBorders>
          </w:tcPr>
          <w:p w:rsidR="00DF26C1" w:rsidRDefault="00DF26C1" w:rsidP="007B6DBD">
            <w:pPr>
              <w:pStyle w:val="TableParagraph"/>
              <w:kinsoku w:val="0"/>
              <w:overflowPunct w:val="0"/>
              <w:ind w:left="140"/>
            </w:pPr>
            <w:r>
              <w:rPr>
                <w:rFonts w:ascii="Arial" w:hAnsi="Arial" w:cs="Arial"/>
                <w:w w:val="105"/>
                <w:sz w:val="9"/>
                <w:szCs w:val="9"/>
              </w:rPr>
              <w:t>0,84</w:t>
            </w:r>
          </w:p>
        </w:tc>
        <w:tc>
          <w:tcPr>
            <w:tcW w:w="234" w:type="dxa"/>
            <w:tcBorders>
              <w:top w:val="nil"/>
              <w:left w:val="nil"/>
              <w:bottom w:val="nil"/>
              <w:right w:val="nil"/>
            </w:tcBorders>
          </w:tcPr>
          <w:p w:rsidR="00DF26C1" w:rsidRDefault="00DF26C1" w:rsidP="007B6DBD">
            <w:pPr>
              <w:pStyle w:val="TableParagraph"/>
              <w:kinsoku w:val="0"/>
              <w:overflowPunct w:val="0"/>
              <w:ind w:left="70"/>
            </w:pPr>
            <w:r>
              <w:rPr>
                <w:rFonts w:ascii="Arial" w:hAnsi="Arial" w:cs="Arial"/>
                <w:w w:val="105"/>
                <w:sz w:val="9"/>
                <w:szCs w:val="9"/>
              </w:rPr>
              <w:t>5,1</w:t>
            </w:r>
          </w:p>
        </w:tc>
        <w:tc>
          <w:tcPr>
            <w:tcW w:w="224"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1,8</w:t>
            </w:r>
          </w:p>
        </w:tc>
        <w:tc>
          <w:tcPr>
            <w:tcW w:w="261" w:type="dxa"/>
            <w:tcBorders>
              <w:top w:val="nil"/>
              <w:left w:val="nil"/>
              <w:bottom w:val="nil"/>
              <w:right w:val="nil"/>
            </w:tcBorders>
          </w:tcPr>
          <w:p w:rsidR="00DF26C1" w:rsidRDefault="00DF26C1" w:rsidP="007B6DBD">
            <w:pPr>
              <w:pStyle w:val="TableParagraph"/>
              <w:kinsoku w:val="0"/>
              <w:overflowPunct w:val="0"/>
              <w:ind w:left="56"/>
            </w:pPr>
            <w:r>
              <w:rPr>
                <w:rFonts w:ascii="Arial" w:hAnsi="Arial" w:cs="Arial"/>
                <w:w w:val="105"/>
                <w:sz w:val="9"/>
                <w:szCs w:val="9"/>
              </w:rPr>
              <w:t>7,09</w:t>
            </w:r>
          </w:p>
        </w:tc>
        <w:tc>
          <w:tcPr>
            <w:tcW w:w="278"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3,09</w:t>
            </w:r>
          </w:p>
        </w:tc>
        <w:tc>
          <w:tcPr>
            <w:tcW w:w="237" w:type="dxa"/>
            <w:tcBorders>
              <w:top w:val="nil"/>
              <w:left w:val="nil"/>
              <w:bottom w:val="nil"/>
              <w:right w:val="nil"/>
            </w:tcBorders>
          </w:tcPr>
          <w:p w:rsidR="00DF26C1" w:rsidRDefault="00DF26C1" w:rsidP="007B6DBD">
            <w:pPr>
              <w:pStyle w:val="TableParagraph"/>
              <w:kinsoku w:val="0"/>
              <w:overflowPunct w:val="0"/>
              <w:ind w:left="79"/>
            </w:pPr>
            <w:r>
              <w:rPr>
                <w:rFonts w:ascii="Arial" w:hAnsi="Arial" w:cs="Arial"/>
                <w:w w:val="105"/>
                <w:sz w:val="9"/>
                <w:szCs w:val="9"/>
              </w:rPr>
              <w:t>3,7</w:t>
            </w:r>
          </w:p>
        </w:tc>
        <w:tc>
          <w:tcPr>
            <w:tcW w:w="296"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0,28</w:t>
            </w:r>
          </w:p>
        </w:tc>
        <w:tc>
          <w:tcPr>
            <w:tcW w:w="274" w:type="dxa"/>
            <w:tcBorders>
              <w:top w:val="nil"/>
              <w:left w:val="nil"/>
              <w:bottom w:val="nil"/>
              <w:right w:val="nil"/>
            </w:tcBorders>
          </w:tcPr>
          <w:p w:rsidR="00DF26C1" w:rsidRDefault="00DF26C1" w:rsidP="007B6DBD">
            <w:pPr>
              <w:pStyle w:val="TableParagraph"/>
              <w:kinsoku w:val="0"/>
              <w:overflowPunct w:val="0"/>
              <w:ind w:left="64"/>
            </w:pPr>
            <w:r>
              <w:rPr>
                <w:rFonts w:ascii="Arial" w:hAnsi="Arial" w:cs="Arial"/>
                <w:w w:val="105"/>
                <w:sz w:val="9"/>
                <w:szCs w:val="9"/>
              </w:rPr>
              <w:t>1,71</w:t>
            </w:r>
          </w:p>
        </w:tc>
        <w:tc>
          <w:tcPr>
            <w:tcW w:w="350"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101,3</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ind w:left="59"/>
            </w:pPr>
            <w:r>
              <w:rPr>
                <w:rFonts w:ascii="Arial" w:hAnsi="Arial" w:cs="Arial"/>
                <w:w w:val="105"/>
                <w:sz w:val="9"/>
                <w:szCs w:val="9"/>
              </w:rPr>
              <w:t>137</w:t>
            </w:r>
          </w:p>
        </w:tc>
        <w:tc>
          <w:tcPr>
            <w:tcW w:w="253" w:type="dxa"/>
            <w:tcBorders>
              <w:top w:val="nil"/>
              <w:left w:val="nil"/>
              <w:bottom w:val="nil"/>
              <w:right w:val="nil"/>
            </w:tcBorders>
          </w:tcPr>
          <w:p w:rsidR="00DF26C1" w:rsidRDefault="00DF26C1" w:rsidP="007B6DBD">
            <w:pPr>
              <w:pStyle w:val="TableParagraph"/>
              <w:kinsoku w:val="0"/>
              <w:overflowPunct w:val="0"/>
              <w:ind w:left="70"/>
            </w:pPr>
            <w:r>
              <w:rPr>
                <w:rFonts w:ascii="Arial" w:hAnsi="Arial" w:cs="Arial"/>
                <w:w w:val="105"/>
                <w:sz w:val="9"/>
                <w:szCs w:val="9"/>
              </w:rPr>
              <w:t>414</w:t>
            </w:r>
          </w:p>
        </w:tc>
        <w:tc>
          <w:tcPr>
            <w:tcW w:w="245" w:type="dxa"/>
            <w:tcBorders>
              <w:top w:val="nil"/>
              <w:left w:val="nil"/>
              <w:bottom w:val="nil"/>
              <w:right w:val="nil"/>
            </w:tcBorders>
          </w:tcPr>
          <w:p w:rsidR="00DF26C1" w:rsidRDefault="00DF26C1" w:rsidP="007B6DBD">
            <w:pPr>
              <w:pStyle w:val="TableParagraph"/>
              <w:kinsoku w:val="0"/>
              <w:overflowPunct w:val="0"/>
              <w:ind w:left="115"/>
            </w:pPr>
            <w:r>
              <w:rPr>
                <w:rFonts w:ascii="Arial" w:hAnsi="Arial" w:cs="Arial"/>
                <w:w w:val="105"/>
                <w:sz w:val="9"/>
                <w:szCs w:val="9"/>
              </w:rPr>
              <w:t>23</w:t>
            </w:r>
          </w:p>
        </w:tc>
        <w:tc>
          <w:tcPr>
            <w:tcW w:w="259" w:type="dxa"/>
            <w:tcBorders>
              <w:top w:val="nil"/>
              <w:left w:val="nil"/>
              <w:bottom w:val="nil"/>
              <w:right w:val="nil"/>
            </w:tcBorders>
          </w:tcPr>
          <w:p w:rsidR="00DF26C1" w:rsidRDefault="00DF26C1" w:rsidP="007B6DBD">
            <w:pPr>
              <w:pStyle w:val="TableParagraph"/>
              <w:kinsoku w:val="0"/>
              <w:overflowPunct w:val="0"/>
              <w:ind w:left="76"/>
            </w:pPr>
            <w:r>
              <w:rPr>
                <w:rFonts w:ascii="Arial" w:hAnsi="Arial" w:cs="Arial"/>
                <w:w w:val="105"/>
                <w:sz w:val="9"/>
                <w:szCs w:val="9"/>
              </w:rPr>
              <w:t>171</w:t>
            </w:r>
          </w:p>
        </w:tc>
        <w:tc>
          <w:tcPr>
            <w:tcW w:w="223" w:type="dxa"/>
            <w:tcBorders>
              <w:top w:val="nil"/>
              <w:left w:val="nil"/>
              <w:bottom w:val="nil"/>
              <w:right w:val="nil"/>
            </w:tcBorders>
          </w:tcPr>
          <w:p w:rsidR="00DF26C1" w:rsidRDefault="00DF26C1" w:rsidP="007B6DBD">
            <w:pPr>
              <w:pStyle w:val="TableParagraph"/>
              <w:kinsoku w:val="0"/>
              <w:overflowPunct w:val="0"/>
              <w:ind w:left="63"/>
            </w:pPr>
            <w:r>
              <w:rPr>
                <w:rFonts w:ascii="Arial" w:hAnsi="Arial" w:cs="Arial"/>
                <w:w w:val="105"/>
                <w:sz w:val="9"/>
                <w:szCs w:val="9"/>
              </w:rPr>
              <w:t>12</w:t>
            </w:r>
          </w:p>
        </w:tc>
        <w:tc>
          <w:tcPr>
            <w:tcW w:w="281" w:type="dxa"/>
            <w:tcBorders>
              <w:top w:val="nil"/>
              <w:left w:val="nil"/>
              <w:bottom w:val="nil"/>
              <w:right w:val="nil"/>
            </w:tcBorders>
          </w:tcPr>
          <w:p w:rsidR="00DF26C1" w:rsidRDefault="00DF26C1" w:rsidP="007B6DBD">
            <w:pPr>
              <w:pStyle w:val="TableParagraph"/>
              <w:kinsoku w:val="0"/>
              <w:overflowPunct w:val="0"/>
              <w:ind w:left="99"/>
            </w:pPr>
            <w:r>
              <w:rPr>
                <w:rFonts w:ascii="Arial" w:hAnsi="Arial" w:cs="Arial"/>
                <w:w w:val="105"/>
                <w:sz w:val="9"/>
                <w:szCs w:val="9"/>
              </w:rPr>
              <w:t>353</w:t>
            </w:r>
          </w:p>
        </w:tc>
        <w:tc>
          <w:tcPr>
            <w:tcW w:w="231" w:type="dxa"/>
            <w:tcBorders>
              <w:top w:val="nil"/>
              <w:left w:val="nil"/>
              <w:bottom w:val="nil"/>
              <w:right w:val="nil"/>
            </w:tcBorders>
          </w:tcPr>
          <w:p w:rsidR="00DF26C1" w:rsidRDefault="00DF26C1" w:rsidP="007B6DBD">
            <w:pPr>
              <w:pStyle w:val="TableParagraph"/>
              <w:kinsoku w:val="0"/>
              <w:overflowPunct w:val="0"/>
              <w:ind w:left="101"/>
            </w:pPr>
            <w:r>
              <w:rPr>
                <w:rFonts w:ascii="Arial" w:hAnsi="Arial" w:cs="Arial"/>
                <w:w w:val="105"/>
                <w:sz w:val="9"/>
                <w:szCs w:val="9"/>
              </w:rPr>
              <w:t>13</w:t>
            </w:r>
          </w:p>
        </w:tc>
        <w:tc>
          <w:tcPr>
            <w:tcW w:w="255"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26</w:t>
            </w:r>
          </w:p>
        </w:tc>
        <w:tc>
          <w:tcPr>
            <w:tcW w:w="302" w:type="dxa"/>
            <w:tcBorders>
              <w:top w:val="nil"/>
              <w:left w:val="nil"/>
              <w:bottom w:val="nil"/>
              <w:right w:val="nil"/>
            </w:tcBorders>
          </w:tcPr>
          <w:p w:rsidR="00DF26C1" w:rsidRDefault="00DF26C1" w:rsidP="007B6DBD">
            <w:pPr>
              <w:pStyle w:val="TableParagraph"/>
              <w:kinsoku w:val="0"/>
              <w:overflowPunct w:val="0"/>
              <w:ind w:left="172"/>
            </w:pPr>
            <w:r>
              <w:rPr>
                <w:rFonts w:ascii="Arial" w:hAnsi="Arial" w:cs="Arial"/>
                <w:w w:val="105"/>
                <w:sz w:val="9"/>
                <w:szCs w:val="9"/>
              </w:rPr>
              <w:t>54</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ind w:left="-11"/>
            </w:pPr>
            <w:r>
              <w:rPr>
                <w:rFonts w:ascii="Arial" w:hAnsi="Arial" w:cs="Arial"/>
                <w:w w:val="105"/>
                <w:sz w:val="9"/>
                <w:szCs w:val="9"/>
              </w:rPr>
              <w:t>15</w:t>
            </w:r>
          </w:p>
        </w:tc>
        <w:tc>
          <w:tcPr>
            <w:tcW w:w="225"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36</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ind w:left="23"/>
            </w:pPr>
            <w:r>
              <w:rPr>
                <w:rFonts w:ascii="Arial" w:hAnsi="Arial" w:cs="Arial"/>
                <w:w w:val="105"/>
                <w:sz w:val="9"/>
                <w:szCs w:val="9"/>
              </w:rPr>
              <w:t>";</w:t>
            </w:r>
            <w:r>
              <w:rPr>
                <w:rFonts w:ascii="Arial" w:hAnsi="Arial" w:cs="Arial"/>
                <w:spacing w:val="-6"/>
                <w:w w:val="105"/>
                <w:sz w:val="9"/>
                <w:szCs w:val="9"/>
              </w:rPr>
              <w:t xml:space="preserve"> </w:t>
            </w:r>
            <w:r>
              <w:rPr>
                <w:rFonts w:ascii="Arial" w:hAnsi="Arial" w:cs="Arial"/>
                <w:w w:val="105"/>
                <w:sz w:val="9"/>
                <w:szCs w:val="9"/>
              </w:rPr>
              <w:t>Anglona</w:t>
            </w:r>
          </w:p>
        </w:tc>
        <w:tc>
          <w:tcPr>
            <w:tcW w:w="503" w:type="dxa"/>
            <w:tcBorders>
              <w:top w:val="nil"/>
              <w:left w:val="nil"/>
              <w:bottom w:val="nil"/>
              <w:right w:val="nil"/>
            </w:tcBorders>
          </w:tcPr>
          <w:p w:rsidR="00DF26C1" w:rsidRDefault="00DF26C1" w:rsidP="007B6DBD">
            <w:pPr>
              <w:pStyle w:val="TableParagraph"/>
              <w:kinsoku w:val="0"/>
              <w:overflowPunct w:val="0"/>
              <w:spacing w:before="7"/>
              <w:ind w:left="17"/>
              <w:jc w:val="center"/>
            </w:pPr>
            <w:r>
              <w:rPr>
                <w:rFonts w:ascii="Arial" w:hAnsi="Arial" w:cs="Arial"/>
                <w:w w:val="105"/>
                <w:sz w:val="9"/>
                <w:szCs w:val="9"/>
              </w:rPr>
              <w:t>22</w:t>
            </w:r>
          </w:p>
        </w:tc>
        <w:tc>
          <w:tcPr>
            <w:tcW w:w="624" w:type="dxa"/>
            <w:tcBorders>
              <w:top w:val="nil"/>
              <w:left w:val="nil"/>
              <w:bottom w:val="nil"/>
              <w:right w:val="nil"/>
            </w:tcBorders>
          </w:tcPr>
          <w:p w:rsidR="00DF26C1" w:rsidRDefault="00DF26C1" w:rsidP="007B6DBD">
            <w:pPr>
              <w:pStyle w:val="TableParagraph"/>
              <w:kinsoku w:val="0"/>
              <w:overflowPunct w:val="0"/>
              <w:ind w:left="16"/>
            </w:pPr>
            <w:r>
              <w:rPr>
                <w:rFonts w:ascii="Arial" w:hAnsi="Arial" w:cs="Arial"/>
                <w:w w:val="105"/>
                <w:sz w:val="9"/>
                <w:szCs w:val="9"/>
              </w:rPr>
              <w:t>rhyolite</w:t>
            </w:r>
          </w:p>
        </w:tc>
        <w:tc>
          <w:tcPr>
            <w:tcW w:w="559"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ignimbrite</w:t>
            </w:r>
          </w:p>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ind w:left="6"/>
            </w:pPr>
            <w:r>
              <w:rPr>
                <w:rFonts w:ascii="Arial" w:hAnsi="Arial" w:cs="Arial"/>
                <w:w w:val="105"/>
                <w:sz w:val="9"/>
                <w:szCs w:val="9"/>
              </w:rPr>
              <w:t>SI-2</w:t>
            </w:r>
          </w:p>
        </w:tc>
        <w:tc>
          <w:tcPr>
            <w:tcW w:w="437" w:type="dxa"/>
            <w:tcBorders>
              <w:top w:val="nil"/>
              <w:left w:val="nil"/>
              <w:bottom w:val="nil"/>
              <w:right w:val="nil"/>
            </w:tcBorders>
          </w:tcPr>
          <w:p w:rsidR="00DF26C1" w:rsidRDefault="00DF26C1" w:rsidP="007B6DBD">
            <w:pPr>
              <w:pStyle w:val="TableParagraph"/>
              <w:kinsoku w:val="0"/>
              <w:overflowPunct w:val="0"/>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ind w:left="10"/>
              <w:jc w:val="center"/>
            </w:pPr>
            <w:r>
              <w:rPr>
                <w:rFonts w:ascii="Arial" w:hAnsi="Arial" w:cs="Arial"/>
                <w:w w:val="106"/>
                <w:sz w:val="9"/>
                <w:szCs w:val="9"/>
              </w:rPr>
              <w:t>3</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ind w:left="84"/>
            </w:pPr>
            <w:r>
              <w:rPr>
                <w:rFonts w:ascii="Arial" w:hAnsi="Arial" w:cs="Arial"/>
                <w:w w:val="105"/>
                <w:sz w:val="9"/>
                <w:szCs w:val="9"/>
              </w:rPr>
              <w:t>65,1</w:t>
            </w:r>
          </w:p>
        </w:tc>
        <w:tc>
          <w:tcPr>
            <w:tcW w:w="293" w:type="dxa"/>
            <w:tcBorders>
              <w:top w:val="nil"/>
              <w:left w:val="nil"/>
              <w:bottom w:val="nil"/>
              <w:right w:val="nil"/>
            </w:tcBorders>
          </w:tcPr>
          <w:p w:rsidR="00DF26C1" w:rsidRDefault="00DF26C1" w:rsidP="007B6DBD">
            <w:pPr>
              <w:pStyle w:val="TableParagraph"/>
              <w:kinsoku w:val="0"/>
              <w:overflowPunct w:val="0"/>
              <w:ind w:left="136"/>
            </w:pPr>
            <w:r>
              <w:rPr>
                <w:rFonts w:ascii="Arial" w:hAnsi="Arial" w:cs="Arial"/>
                <w:w w:val="105"/>
                <w:sz w:val="9"/>
                <w:szCs w:val="9"/>
              </w:rPr>
              <w:t>0,5</w:t>
            </w:r>
          </w:p>
        </w:tc>
        <w:tc>
          <w:tcPr>
            <w:tcW w:w="308" w:type="dxa"/>
            <w:tcBorders>
              <w:top w:val="nil"/>
              <w:left w:val="nil"/>
              <w:bottom w:val="nil"/>
              <w:right w:val="nil"/>
            </w:tcBorders>
          </w:tcPr>
          <w:p w:rsidR="00DF26C1" w:rsidRDefault="00DF26C1" w:rsidP="007B6DBD">
            <w:pPr>
              <w:pStyle w:val="TableParagraph"/>
              <w:kinsoku w:val="0"/>
              <w:overflowPunct w:val="0"/>
              <w:ind w:left="109"/>
            </w:pPr>
            <w:r>
              <w:rPr>
                <w:rFonts w:ascii="Arial" w:hAnsi="Arial" w:cs="Arial"/>
                <w:w w:val="105"/>
                <w:sz w:val="9"/>
                <w:szCs w:val="9"/>
              </w:rPr>
              <w:t>14,9</w:t>
            </w:r>
          </w:p>
        </w:tc>
        <w:tc>
          <w:tcPr>
            <w:tcW w:w="353" w:type="dxa"/>
            <w:tcBorders>
              <w:top w:val="nil"/>
              <w:left w:val="nil"/>
              <w:bottom w:val="nil"/>
              <w:right w:val="nil"/>
            </w:tcBorders>
          </w:tcPr>
          <w:p w:rsidR="00DF26C1" w:rsidRDefault="00DF26C1" w:rsidP="007B6DBD">
            <w:pPr>
              <w:pStyle w:val="TableParagraph"/>
              <w:kinsoku w:val="0"/>
              <w:overflowPunct w:val="0"/>
              <w:ind w:left="140"/>
            </w:pPr>
            <w:r>
              <w:rPr>
                <w:rFonts w:ascii="Arial" w:hAnsi="Arial" w:cs="Arial"/>
                <w:w w:val="105"/>
                <w:sz w:val="9"/>
                <w:szCs w:val="9"/>
              </w:rPr>
              <w:t>4,10</w:t>
            </w:r>
          </w:p>
        </w:tc>
        <w:tc>
          <w:tcPr>
            <w:tcW w:w="234" w:type="dxa"/>
            <w:tcBorders>
              <w:top w:val="nil"/>
              <w:left w:val="nil"/>
              <w:bottom w:val="nil"/>
              <w:right w:val="nil"/>
            </w:tcBorders>
          </w:tcPr>
          <w:p w:rsidR="00DF26C1" w:rsidRDefault="00DF26C1" w:rsidP="007B6DBD">
            <w:pPr>
              <w:pStyle w:val="TableParagraph"/>
              <w:kinsoku w:val="0"/>
              <w:overflowPunct w:val="0"/>
              <w:ind w:right="28"/>
              <w:jc w:val="right"/>
            </w:pPr>
            <w:r>
              <w:rPr>
                <w:rFonts w:ascii="Arial" w:hAnsi="Arial" w:cs="Arial"/>
                <w:w w:val="106"/>
                <w:sz w:val="9"/>
                <w:szCs w:val="9"/>
              </w:rPr>
              <w:t>-</w:t>
            </w:r>
          </w:p>
        </w:tc>
        <w:tc>
          <w:tcPr>
            <w:tcW w:w="224"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1,4</w:t>
            </w:r>
          </w:p>
        </w:tc>
        <w:tc>
          <w:tcPr>
            <w:tcW w:w="261" w:type="dxa"/>
            <w:tcBorders>
              <w:top w:val="nil"/>
              <w:left w:val="nil"/>
              <w:bottom w:val="nil"/>
              <w:right w:val="nil"/>
            </w:tcBorders>
          </w:tcPr>
          <w:p w:rsidR="00DF26C1" w:rsidRDefault="00DF26C1" w:rsidP="007B6DBD">
            <w:pPr>
              <w:pStyle w:val="TableParagraph"/>
              <w:kinsoku w:val="0"/>
              <w:overflowPunct w:val="0"/>
              <w:ind w:left="109"/>
            </w:pPr>
            <w:r>
              <w:rPr>
                <w:rFonts w:ascii="Arial" w:hAnsi="Arial" w:cs="Arial"/>
                <w:w w:val="105"/>
                <w:sz w:val="9"/>
                <w:szCs w:val="9"/>
              </w:rPr>
              <w:t>3,4</w:t>
            </w:r>
          </w:p>
        </w:tc>
        <w:tc>
          <w:tcPr>
            <w:tcW w:w="278"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3,4</w:t>
            </w:r>
          </w:p>
        </w:tc>
        <w:tc>
          <w:tcPr>
            <w:tcW w:w="237" w:type="dxa"/>
            <w:tcBorders>
              <w:top w:val="nil"/>
              <w:left w:val="nil"/>
              <w:bottom w:val="nil"/>
              <w:right w:val="nil"/>
            </w:tcBorders>
          </w:tcPr>
          <w:p w:rsidR="00DF26C1" w:rsidRDefault="00DF26C1" w:rsidP="007B6DBD">
            <w:pPr>
              <w:pStyle w:val="TableParagraph"/>
              <w:kinsoku w:val="0"/>
              <w:overflowPunct w:val="0"/>
              <w:ind w:left="79"/>
            </w:pPr>
            <w:r>
              <w:rPr>
                <w:rFonts w:ascii="Arial" w:hAnsi="Arial" w:cs="Arial"/>
                <w:w w:val="105"/>
                <w:sz w:val="9"/>
                <w:szCs w:val="9"/>
              </w:rPr>
              <w:t>3,7</w:t>
            </w:r>
          </w:p>
        </w:tc>
        <w:tc>
          <w:tcPr>
            <w:tcW w:w="296" w:type="dxa"/>
            <w:tcBorders>
              <w:top w:val="nil"/>
              <w:left w:val="nil"/>
              <w:bottom w:val="nil"/>
              <w:right w:val="nil"/>
            </w:tcBorders>
          </w:tcPr>
          <w:p w:rsidR="00DF26C1" w:rsidRDefault="00DF26C1" w:rsidP="007B6DBD">
            <w:pPr>
              <w:pStyle w:val="TableParagraph"/>
              <w:kinsoku w:val="0"/>
              <w:overflowPunct w:val="0"/>
              <w:ind w:left="134"/>
            </w:pPr>
            <w:r>
              <w:rPr>
                <w:rFonts w:ascii="Arial" w:hAnsi="Arial" w:cs="Arial"/>
                <w:w w:val="105"/>
                <w:sz w:val="9"/>
                <w:szCs w:val="9"/>
              </w:rPr>
              <w:t>0,1</w:t>
            </w:r>
          </w:p>
        </w:tc>
        <w:tc>
          <w:tcPr>
            <w:tcW w:w="274" w:type="dxa"/>
            <w:tcBorders>
              <w:top w:val="nil"/>
              <w:left w:val="nil"/>
              <w:bottom w:val="nil"/>
              <w:right w:val="nil"/>
            </w:tcBorders>
          </w:tcPr>
          <w:p w:rsidR="00DF26C1" w:rsidRDefault="00DF26C1" w:rsidP="007B6DBD">
            <w:pPr>
              <w:pStyle w:val="TableParagraph"/>
              <w:kinsoku w:val="0"/>
              <w:overflowPunct w:val="0"/>
              <w:ind w:left="117"/>
            </w:pPr>
            <w:r>
              <w:rPr>
                <w:rFonts w:ascii="Arial" w:hAnsi="Arial" w:cs="Arial"/>
                <w:w w:val="105"/>
                <w:sz w:val="9"/>
                <w:szCs w:val="9"/>
              </w:rPr>
              <w:t>3,2</w:t>
            </w:r>
          </w:p>
        </w:tc>
        <w:tc>
          <w:tcPr>
            <w:tcW w:w="350" w:type="dxa"/>
            <w:tcBorders>
              <w:top w:val="nil"/>
              <w:left w:val="nil"/>
              <w:bottom w:val="nil"/>
              <w:right w:val="nil"/>
            </w:tcBorders>
          </w:tcPr>
          <w:p w:rsidR="00DF26C1" w:rsidRDefault="00DF26C1" w:rsidP="007B6DBD">
            <w:pPr>
              <w:pStyle w:val="TableParagraph"/>
              <w:kinsoku w:val="0"/>
              <w:overflowPunct w:val="0"/>
              <w:ind w:left="136"/>
            </w:pPr>
            <w:r>
              <w:rPr>
                <w:rFonts w:ascii="Arial" w:hAnsi="Arial" w:cs="Arial"/>
                <w:w w:val="105"/>
                <w:sz w:val="9"/>
                <w:szCs w:val="9"/>
              </w:rPr>
              <w:t>99,9</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ind w:left="59"/>
            </w:pPr>
            <w:r>
              <w:rPr>
                <w:rFonts w:ascii="Arial" w:hAnsi="Arial" w:cs="Arial"/>
                <w:w w:val="105"/>
                <w:sz w:val="9"/>
                <w:szCs w:val="9"/>
              </w:rPr>
              <w:t>155</w:t>
            </w:r>
          </w:p>
        </w:tc>
        <w:tc>
          <w:tcPr>
            <w:tcW w:w="253" w:type="dxa"/>
            <w:tcBorders>
              <w:top w:val="nil"/>
              <w:left w:val="nil"/>
              <w:bottom w:val="nil"/>
              <w:right w:val="nil"/>
            </w:tcBorders>
          </w:tcPr>
          <w:p w:rsidR="00DF26C1" w:rsidRDefault="00DF26C1" w:rsidP="007B6DBD"/>
        </w:tc>
        <w:tc>
          <w:tcPr>
            <w:tcW w:w="245"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pPr>
              <w:pStyle w:val="TableParagraph"/>
              <w:kinsoku w:val="0"/>
              <w:overflowPunct w:val="0"/>
              <w:ind w:left="76"/>
            </w:pPr>
            <w:r>
              <w:rPr>
                <w:rFonts w:ascii="Arial" w:hAnsi="Arial" w:cs="Arial"/>
                <w:w w:val="105"/>
                <w:sz w:val="9"/>
                <w:szCs w:val="9"/>
              </w:rPr>
              <w:t>230</w:t>
            </w:r>
          </w:p>
        </w:tc>
        <w:tc>
          <w:tcPr>
            <w:tcW w:w="223" w:type="dxa"/>
            <w:tcBorders>
              <w:top w:val="nil"/>
              <w:left w:val="nil"/>
              <w:bottom w:val="nil"/>
              <w:right w:val="nil"/>
            </w:tcBorders>
          </w:tcPr>
          <w:p w:rsidR="00DF26C1" w:rsidRDefault="00DF26C1" w:rsidP="007B6DBD">
            <w:pPr>
              <w:pStyle w:val="TableParagraph"/>
              <w:kinsoku w:val="0"/>
              <w:overflowPunct w:val="0"/>
              <w:ind w:left="63"/>
            </w:pPr>
            <w:r>
              <w:rPr>
                <w:rFonts w:ascii="Arial" w:hAnsi="Arial" w:cs="Arial"/>
                <w:w w:val="105"/>
                <w:sz w:val="9"/>
                <w:szCs w:val="9"/>
              </w:rPr>
              <w:t>13</w:t>
            </w:r>
          </w:p>
        </w:tc>
        <w:tc>
          <w:tcPr>
            <w:tcW w:w="281" w:type="dxa"/>
            <w:tcBorders>
              <w:top w:val="nil"/>
              <w:left w:val="nil"/>
              <w:bottom w:val="nil"/>
              <w:right w:val="nil"/>
            </w:tcBorders>
          </w:tcPr>
          <w:p w:rsidR="00DF26C1" w:rsidRDefault="00DF26C1" w:rsidP="007B6DBD">
            <w:pPr>
              <w:pStyle w:val="TableParagraph"/>
              <w:kinsoku w:val="0"/>
              <w:overflowPunct w:val="0"/>
              <w:ind w:left="99"/>
            </w:pPr>
            <w:r>
              <w:rPr>
                <w:rFonts w:ascii="Arial" w:hAnsi="Arial" w:cs="Arial"/>
                <w:w w:val="105"/>
                <w:sz w:val="9"/>
                <w:szCs w:val="9"/>
              </w:rPr>
              <w:t>678</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34</w:t>
            </w:r>
          </w:p>
        </w:tc>
        <w:tc>
          <w:tcPr>
            <w:tcW w:w="302" w:type="dxa"/>
            <w:tcBorders>
              <w:top w:val="nil"/>
              <w:left w:val="nil"/>
              <w:bottom w:val="nil"/>
              <w:right w:val="nil"/>
            </w:tcBorders>
          </w:tcPr>
          <w:p w:rsidR="00DF26C1" w:rsidRDefault="00DF26C1" w:rsidP="007B6DBD">
            <w:pPr>
              <w:pStyle w:val="TableParagraph"/>
              <w:kinsoku w:val="0"/>
              <w:overflowPunct w:val="0"/>
              <w:ind w:left="172"/>
            </w:pPr>
            <w:r>
              <w:rPr>
                <w:rFonts w:ascii="Arial" w:hAnsi="Arial" w:cs="Arial"/>
                <w:w w:val="105"/>
                <w:sz w:val="9"/>
                <w:szCs w:val="9"/>
              </w:rPr>
              <w:t>74</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ind w:left="-11"/>
            </w:pPr>
            <w:r>
              <w:rPr>
                <w:rFonts w:ascii="Arial" w:hAnsi="Arial" w:cs="Arial"/>
                <w:w w:val="105"/>
                <w:sz w:val="9"/>
                <w:szCs w:val="9"/>
              </w:rPr>
              <w:t>6,9</w:t>
            </w:r>
          </w:p>
        </w:tc>
        <w:tc>
          <w:tcPr>
            <w:tcW w:w="250"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1,1</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3,6</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4"/>
        </w:trPr>
        <w:tc>
          <w:tcPr>
            <w:tcW w:w="921" w:type="dxa"/>
            <w:tcBorders>
              <w:top w:val="nil"/>
              <w:left w:val="nil"/>
              <w:bottom w:val="nil"/>
              <w:right w:val="nil"/>
            </w:tcBorders>
          </w:tcPr>
          <w:p w:rsidR="00DF26C1" w:rsidRDefault="00DF26C1" w:rsidP="007B6DBD">
            <w:pPr>
              <w:pStyle w:val="TableParagraph"/>
              <w:kinsoku w:val="0"/>
              <w:overflowPunct w:val="0"/>
              <w:spacing w:before="1"/>
              <w:ind w:left="23"/>
            </w:pPr>
            <w:r>
              <w:rPr>
                <w:rFonts w:ascii="Arial" w:hAnsi="Arial" w:cs="Arial"/>
                <w:w w:val="105"/>
                <w:sz w:val="9"/>
                <w:szCs w:val="9"/>
              </w:rPr>
              <w:t>Sulcis</w:t>
            </w:r>
          </w:p>
        </w:tc>
        <w:tc>
          <w:tcPr>
            <w:tcW w:w="503" w:type="dxa"/>
            <w:tcBorders>
              <w:top w:val="nil"/>
              <w:left w:val="nil"/>
              <w:bottom w:val="nil"/>
              <w:right w:val="nil"/>
            </w:tcBorders>
          </w:tcPr>
          <w:p w:rsidR="00DF26C1" w:rsidRDefault="00DF26C1" w:rsidP="007B6DBD">
            <w:pPr>
              <w:pStyle w:val="TableParagraph"/>
              <w:kinsoku w:val="0"/>
              <w:overflowPunct w:val="0"/>
              <w:spacing w:before="1"/>
              <w:ind w:left="181"/>
            </w:pPr>
            <w:r>
              <w:rPr>
                <w:rFonts w:ascii="Arial" w:hAnsi="Arial" w:cs="Arial"/>
                <w:w w:val="105"/>
                <w:sz w:val="9"/>
                <w:szCs w:val="9"/>
              </w:rPr>
              <w:t>22b</w:t>
            </w:r>
          </w:p>
        </w:tc>
        <w:tc>
          <w:tcPr>
            <w:tcW w:w="624" w:type="dxa"/>
            <w:tcBorders>
              <w:top w:val="nil"/>
              <w:left w:val="nil"/>
              <w:bottom w:val="nil"/>
              <w:right w:val="nil"/>
            </w:tcBorders>
          </w:tcPr>
          <w:p w:rsidR="00DF26C1" w:rsidRDefault="00DF26C1" w:rsidP="007B6DBD">
            <w:pPr>
              <w:pStyle w:val="TableParagraph"/>
              <w:kinsoku w:val="0"/>
              <w:overflowPunct w:val="0"/>
              <w:spacing w:before="1"/>
              <w:ind w:left="16"/>
            </w:pPr>
            <w:r>
              <w:rPr>
                <w:rFonts w:ascii="Arial" w:hAnsi="Arial" w:cs="Arial"/>
                <w:w w:val="105"/>
                <w:sz w:val="9"/>
                <w:szCs w:val="9"/>
              </w:rPr>
              <w:t>rhyol/com</w:t>
            </w:r>
          </w:p>
        </w:tc>
        <w:tc>
          <w:tcPr>
            <w:tcW w:w="559" w:type="dxa"/>
            <w:tcBorders>
              <w:top w:val="nil"/>
              <w:left w:val="nil"/>
              <w:bottom w:val="nil"/>
              <w:right w:val="nil"/>
            </w:tcBorders>
          </w:tcPr>
          <w:p w:rsidR="00DF26C1" w:rsidRDefault="00DF26C1" w:rsidP="007B6DBD">
            <w:pPr>
              <w:pStyle w:val="TableParagraph"/>
              <w:kinsoku w:val="0"/>
              <w:overflowPunct w:val="0"/>
              <w:spacing w:before="1"/>
              <w:ind w:left="16"/>
              <w:jc w:val="center"/>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1"/>
              <w:ind w:left="6"/>
            </w:pPr>
            <w:r>
              <w:rPr>
                <w:rFonts w:ascii="Arial" w:hAnsi="Arial" w:cs="Arial"/>
                <w:w w:val="105"/>
                <w:sz w:val="9"/>
                <w:szCs w:val="9"/>
              </w:rPr>
              <w:t>NU371</w:t>
            </w:r>
          </w:p>
        </w:tc>
        <w:tc>
          <w:tcPr>
            <w:tcW w:w="437" w:type="dxa"/>
            <w:tcBorders>
              <w:top w:val="nil"/>
              <w:left w:val="nil"/>
              <w:bottom w:val="nil"/>
              <w:right w:val="nil"/>
            </w:tcBorders>
          </w:tcPr>
          <w:p w:rsidR="00DF26C1" w:rsidRDefault="00DF26C1" w:rsidP="007B6DBD">
            <w:pPr>
              <w:pStyle w:val="TableParagraph"/>
              <w:kinsoku w:val="0"/>
              <w:overflowPunct w:val="0"/>
              <w:spacing w:before="1"/>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1"/>
              <w:ind w:left="10"/>
              <w:jc w:val="center"/>
            </w:pPr>
            <w:r>
              <w:rPr>
                <w:rFonts w:ascii="Arial" w:hAnsi="Arial" w:cs="Arial"/>
                <w:w w:val="106"/>
                <w:sz w:val="9"/>
                <w:szCs w:val="9"/>
              </w:rPr>
              <w:t>9</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1"/>
              <w:ind w:left="31"/>
            </w:pPr>
            <w:r>
              <w:rPr>
                <w:rFonts w:ascii="Arial" w:hAnsi="Arial" w:cs="Arial"/>
                <w:w w:val="105"/>
                <w:sz w:val="9"/>
                <w:szCs w:val="9"/>
              </w:rPr>
              <w:t>70,17</w:t>
            </w:r>
          </w:p>
        </w:tc>
        <w:tc>
          <w:tcPr>
            <w:tcW w:w="293" w:type="dxa"/>
            <w:tcBorders>
              <w:top w:val="nil"/>
              <w:left w:val="nil"/>
              <w:bottom w:val="nil"/>
              <w:right w:val="nil"/>
            </w:tcBorders>
          </w:tcPr>
          <w:p w:rsidR="00DF26C1" w:rsidRDefault="00DF26C1" w:rsidP="007B6DBD">
            <w:pPr>
              <w:pStyle w:val="TableParagraph"/>
              <w:kinsoku w:val="0"/>
              <w:overflowPunct w:val="0"/>
              <w:spacing w:before="1"/>
              <w:ind w:left="83"/>
            </w:pPr>
            <w:r>
              <w:rPr>
                <w:rFonts w:ascii="Arial" w:hAnsi="Arial" w:cs="Arial"/>
                <w:w w:val="105"/>
                <w:sz w:val="9"/>
                <w:szCs w:val="9"/>
              </w:rPr>
              <w:t>0,43</w:t>
            </w:r>
          </w:p>
        </w:tc>
        <w:tc>
          <w:tcPr>
            <w:tcW w:w="308" w:type="dxa"/>
            <w:tcBorders>
              <w:top w:val="nil"/>
              <w:left w:val="nil"/>
              <w:bottom w:val="nil"/>
              <w:right w:val="nil"/>
            </w:tcBorders>
          </w:tcPr>
          <w:p w:rsidR="00DF26C1" w:rsidRDefault="00DF26C1" w:rsidP="007B6DBD">
            <w:pPr>
              <w:pStyle w:val="TableParagraph"/>
              <w:kinsoku w:val="0"/>
              <w:overflowPunct w:val="0"/>
              <w:spacing w:before="1"/>
              <w:ind w:left="57"/>
            </w:pPr>
            <w:r>
              <w:rPr>
                <w:rFonts w:ascii="Arial" w:hAnsi="Arial" w:cs="Arial"/>
                <w:w w:val="105"/>
                <w:sz w:val="9"/>
                <w:szCs w:val="9"/>
              </w:rPr>
              <w:t>14,47</w:t>
            </w:r>
          </w:p>
        </w:tc>
        <w:tc>
          <w:tcPr>
            <w:tcW w:w="353" w:type="dxa"/>
            <w:tcBorders>
              <w:top w:val="nil"/>
              <w:left w:val="nil"/>
              <w:bottom w:val="nil"/>
              <w:right w:val="nil"/>
            </w:tcBorders>
          </w:tcPr>
          <w:p w:rsidR="00DF26C1" w:rsidRDefault="00DF26C1" w:rsidP="007B6DBD">
            <w:pPr>
              <w:pStyle w:val="TableParagraph"/>
              <w:kinsoku w:val="0"/>
              <w:overflowPunct w:val="0"/>
              <w:spacing w:before="1"/>
              <w:ind w:left="140"/>
            </w:pPr>
            <w:r>
              <w:rPr>
                <w:rFonts w:ascii="Arial" w:hAnsi="Arial" w:cs="Arial"/>
                <w:w w:val="105"/>
                <w:sz w:val="9"/>
                <w:szCs w:val="9"/>
              </w:rPr>
              <w:t>3,04</w:t>
            </w:r>
          </w:p>
        </w:tc>
        <w:tc>
          <w:tcPr>
            <w:tcW w:w="234" w:type="dxa"/>
            <w:tcBorders>
              <w:top w:val="nil"/>
              <w:left w:val="nil"/>
              <w:bottom w:val="nil"/>
              <w:right w:val="nil"/>
            </w:tcBorders>
          </w:tcPr>
          <w:p w:rsidR="00DF26C1" w:rsidRDefault="00DF26C1" w:rsidP="007B6DBD">
            <w:pPr>
              <w:pStyle w:val="TableParagraph"/>
              <w:kinsoku w:val="0"/>
              <w:overflowPunct w:val="0"/>
              <w:spacing w:before="1"/>
              <w:ind w:left="17"/>
            </w:pPr>
            <w:r>
              <w:rPr>
                <w:rFonts w:ascii="Arial" w:hAnsi="Arial" w:cs="Arial"/>
                <w:w w:val="105"/>
                <w:sz w:val="9"/>
                <w:szCs w:val="9"/>
              </w:rPr>
              <w:t>0,26</w:t>
            </w:r>
          </w:p>
        </w:tc>
        <w:tc>
          <w:tcPr>
            <w:tcW w:w="224" w:type="dxa"/>
            <w:tcBorders>
              <w:top w:val="nil"/>
              <w:left w:val="nil"/>
              <w:bottom w:val="nil"/>
              <w:right w:val="nil"/>
            </w:tcBorders>
          </w:tcPr>
          <w:p w:rsidR="00DF26C1" w:rsidRDefault="00DF26C1" w:rsidP="007B6DBD">
            <w:pPr>
              <w:pStyle w:val="TableParagraph"/>
              <w:kinsoku w:val="0"/>
              <w:overflowPunct w:val="0"/>
              <w:spacing w:before="1"/>
              <w:ind w:left="28"/>
            </w:pPr>
            <w:r>
              <w:rPr>
                <w:rFonts w:ascii="Arial" w:hAnsi="Arial" w:cs="Arial"/>
                <w:w w:val="105"/>
                <w:sz w:val="9"/>
                <w:szCs w:val="9"/>
              </w:rPr>
              <w:t>0,03</w:t>
            </w:r>
          </w:p>
        </w:tc>
        <w:tc>
          <w:tcPr>
            <w:tcW w:w="269" w:type="dxa"/>
            <w:tcBorders>
              <w:top w:val="nil"/>
              <w:left w:val="nil"/>
              <w:bottom w:val="nil"/>
              <w:right w:val="nil"/>
            </w:tcBorders>
          </w:tcPr>
          <w:p w:rsidR="00DF26C1" w:rsidRDefault="00DF26C1" w:rsidP="007B6DBD">
            <w:pPr>
              <w:pStyle w:val="TableParagraph"/>
              <w:kinsoku w:val="0"/>
              <w:overflowPunct w:val="0"/>
              <w:spacing w:before="1"/>
              <w:ind w:left="54"/>
            </w:pPr>
            <w:r>
              <w:rPr>
                <w:rFonts w:ascii="Arial" w:hAnsi="Arial" w:cs="Arial"/>
                <w:w w:val="105"/>
                <w:sz w:val="9"/>
                <w:szCs w:val="9"/>
              </w:rPr>
              <w:t>0,41</w:t>
            </w:r>
          </w:p>
        </w:tc>
        <w:tc>
          <w:tcPr>
            <w:tcW w:w="261" w:type="dxa"/>
            <w:tcBorders>
              <w:top w:val="nil"/>
              <w:left w:val="nil"/>
              <w:bottom w:val="nil"/>
              <w:right w:val="nil"/>
            </w:tcBorders>
          </w:tcPr>
          <w:p w:rsidR="00DF26C1" w:rsidRDefault="00DF26C1" w:rsidP="007B6DBD">
            <w:pPr>
              <w:pStyle w:val="TableParagraph"/>
              <w:kinsoku w:val="0"/>
              <w:overflowPunct w:val="0"/>
              <w:spacing w:before="1"/>
              <w:ind w:left="56"/>
            </w:pPr>
            <w:r>
              <w:rPr>
                <w:rFonts w:ascii="Arial" w:hAnsi="Arial" w:cs="Arial"/>
                <w:w w:val="105"/>
                <w:sz w:val="9"/>
                <w:szCs w:val="9"/>
              </w:rPr>
              <w:t>1,26</w:t>
            </w:r>
          </w:p>
        </w:tc>
        <w:tc>
          <w:tcPr>
            <w:tcW w:w="278" w:type="dxa"/>
            <w:tcBorders>
              <w:top w:val="nil"/>
              <w:left w:val="nil"/>
              <w:bottom w:val="nil"/>
              <w:right w:val="nil"/>
            </w:tcBorders>
          </w:tcPr>
          <w:p w:rsidR="00DF26C1" w:rsidRDefault="00DF26C1" w:rsidP="007B6DBD">
            <w:pPr>
              <w:pStyle w:val="TableParagraph"/>
              <w:kinsoku w:val="0"/>
              <w:overflowPunct w:val="0"/>
              <w:spacing w:before="1"/>
              <w:ind w:left="54"/>
            </w:pPr>
            <w:r>
              <w:rPr>
                <w:rFonts w:ascii="Arial" w:hAnsi="Arial" w:cs="Arial"/>
                <w:w w:val="105"/>
                <w:sz w:val="9"/>
                <w:szCs w:val="9"/>
              </w:rPr>
              <w:t>4,05</w:t>
            </w:r>
          </w:p>
        </w:tc>
        <w:tc>
          <w:tcPr>
            <w:tcW w:w="237" w:type="dxa"/>
            <w:tcBorders>
              <w:top w:val="nil"/>
              <w:left w:val="nil"/>
              <w:bottom w:val="nil"/>
              <w:right w:val="nil"/>
            </w:tcBorders>
          </w:tcPr>
          <w:p w:rsidR="00DF26C1" w:rsidRDefault="00DF26C1" w:rsidP="007B6DBD">
            <w:pPr>
              <w:pStyle w:val="TableParagraph"/>
              <w:kinsoku w:val="0"/>
              <w:overflowPunct w:val="0"/>
              <w:spacing w:before="1"/>
              <w:ind w:left="26"/>
            </w:pPr>
            <w:r>
              <w:rPr>
                <w:rFonts w:ascii="Arial" w:hAnsi="Arial" w:cs="Arial"/>
                <w:w w:val="105"/>
                <w:sz w:val="9"/>
                <w:szCs w:val="9"/>
              </w:rPr>
              <w:t>5,14</w:t>
            </w:r>
          </w:p>
        </w:tc>
        <w:tc>
          <w:tcPr>
            <w:tcW w:w="296" w:type="dxa"/>
            <w:tcBorders>
              <w:top w:val="nil"/>
              <w:left w:val="nil"/>
              <w:bottom w:val="nil"/>
              <w:right w:val="nil"/>
            </w:tcBorders>
          </w:tcPr>
          <w:p w:rsidR="00DF26C1" w:rsidRDefault="00DF26C1" w:rsidP="007B6DBD">
            <w:pPr>
              <w:pStyle w:val="TableParagraph"/>
              <w:kinsoku w:val="0"/>
              <w:overflowPunct w:val="0"/>
              <w:spacing w:before="1"/>
              <w:ind w:left="81"/>
            </w:pPr>
            <w:r>
              <w:rPr>
                <w:rFonts w:ascii="Arial" w:hAnsi="Arial" w:cs="Arial"/>
                <w:w w:val="105"/>
                <w:sz w:val="9"/>
                <w:szCs w:val="9"/>
              </w:rPr>
              <w:t>0,08</w:t>
            </w:r>
          </w:p>
        </w:tc>
        <w:tc>
          <w:tcPr>
            <w:tcW w:w="274" w:type="dxa"/>
            <w:tcBorders>
              <w:top w:val="nil"/>
              <w:left w:val="nil"/>
              <w:bottom w:val="nil"/>
              <w:right w:val="nil"/>
            </w:tcBorders>
          </w:tcPr>
          <w:p w:rsidR="00DF26C1" w:rsidRDefault="00DF26C1" w:rsidP="007B6DBD">
            <w:pPr>
              <w:pStyle w:val="TableParagraph"/>
              <w:kinsoku w:val="0"/>
              <w:overflowPunct w:val="0"/>
              <w:spacing w:before="1"/>
              <w:ind w:left="64"/>
            </w:pPr>
            <w:r>
              <w:rPr>
                <w:rFonts w:ascii="Arial" w:hAnsi="Arial" w:cs="Arial"/>
                <w:w w:val="105"/>
                <w:sz w:val="9"/>
                <w:szCs w:val="9"/>
              </w:rPr>
              <w:t>0,66</w:t>
            </w:r>
          </w:p>
        </w:tc>
        <w:tc>
          <w:tcPr>
            <w:tcW w:w="350" w:type="dxa"/>
            <w:tcBorders>
              <w:top w:val="nil"/>
              <w:left w:val="nil"/>
              <w:bottom w:val="nil"/>
              <w:right w:val="nil"/>
            </w:tcBorders>
          </w:tcPr>
          <w:p w:rsidR="00DF26C1" w:rsidRDefault="00DF26C1" w:rsidP="007B6DBD">
            <w:pPr>
              <w:pStyle w:val="TableParagraph"/>
              <w:kinsoku w:val="0"/>
              <w:overflowPunct w:val="0"/>
              <w:spacing w:before="1"/>
              <w:ind w:left="30"/>
            </w:pPr>
            <w:r>
              <w:rPr>
                <w:rFonts w:ascii="Arial" w:hAnsi="Arial" w:cs="Arial"/>
                <w:w w:val="105"/>
                <w:sz w:val="9"/>
                <w:szCs w:val="9"/>
              </w:rPr>
              <w:t>100,00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1"/>
              <w:ind w:left="59"/>
            </w:pPr>
            <w:r>
              <w:rPr>
                <w:rFonts w:ascii="Arial" w:hAnsi="Arial" w:cs="Arial"/>
                <w:w w:val="105"/>
                <w:sz w:val="9"/>
                <w:szCs w:val="9"/>
              </w:rPr>
              <w:t>191</w:t>
            </w:r>
          </w:p>
        </w:tc>
        <w:tc>
          <w:tcPr>
            <w:tcW w:w="253" w:type="dxa"/>
            <w:tcBorders>
              <w:top w:val="nil"/>
              <w:left w:val="nil"/>
              <w:bottom w:val="nil"/>
              <w:right w:val="nil"/>
            </w:tcBorders>
          </w:tcPr>
          <w:p w:rsidR="00DF26C1" w:rsidRDefault="00DF26C1" w:rsidP="007B6DBD">
            <w:pPr>
              <w:pStyle w:val="TableParagraph"/>
              <w:kinsoku w:val="0"/>
              <w:overflowPunct w:val="0"/>
              <w:spacing w:before="1"/>
              <w:ind w:left="70"/>
            </w:pPr>
            <w:r>
              <w:rPr>
                <w:rFonts w:ascii="Arial" w:hAnsi="Arial" w:cs="Arial"/>
                <w:w w:val="105"/>
                <w:sz w:val="9"/>
                <w:szCs w:val="9"/>
              </w:rPr>
              <w:t>139</w:t>
            </w:r>
          </w:p>
        </w:tc>
        <w:tc>
          <w:tcPr>
            <w:tcW w:w="245" w:type="dxa"/>
            <w:tcBorders>
              <w:top w:val="nil"/>
              <w:left w:val="nil"/>
              <w:bottom w:val="nil"/>
              <w:right w:val="nil"/>
            </w:tcBorders>
          </w:tcPr>
          <w:p w:rsidR="00DF26C1" w:rsidRDefault="00DF26C1" w:rsidP="007B6DBD">
            <w:pPr>
              <w:pStyle w:val="TableParagraph"/>
              <w:kinsoku w:val="0"/>
              <w:overflowPunct w:val="0"/>
              <w:spacing w:before="1"/>
              <w:ind w:left="115"/>
            </w:pPr>
            <w:r>
              <w:rPr>
                <w:rFonts w:ascii="Arial" w:hAnsi="Arial" w:cs="Arial"/>
                <w:w w:val="105"/>
                <w:sz w:val="9"/>
                <w:szCs w:val="9"/>
              </w:rPr>
              <w:t>42</w:t>
            </w:r>
          </w:p>
        </w:tc>
        <w:tc>
          <w:tcPr>
            <w:tcW w:w="259" w:type="dxa"/>
            <w:tcBorders>
              <w:top w:val="nil"/>
              <w:left w:val="nil"/>
              <w:bottom w:val="nil"/>
              <w:right w:val="nil"/>
            </w:tcBorders>
          </w:tcPr>
          <w:p w:rsidR="00DF26C1" w:rsidRDefault="00DF26C1" w:rsidP="007B6DBD">
            <w:pPr>
              <w:pStyle w:val="TableParagraph"/>
              <w:kinsoku w:val="0"/>
              <w:overflowPunct w:val="0"/>
              <w:spacing w:before="1"/>
              <w:ind w:left="76"/>
            </w:pPr>
            <w:r>
              <w:rPr>
                <w:rFonts w:ascii="Arial" w:hAnsi="Arial" w:cs="Arial"/>
                <w:w w:val="105"/>
                <w:sz w:val="9"/>
                <w:szCs w:val="9"/>
              </w:rPr>
              <w:t>442</w:t>
            </w:r>
          </w:p>
        </w:tc>
        <w:tc>
          <w:tcPr>
            <w:tcW w:w="223" w:type="dxa"/>
            <w:tcBorders>
              <w:top w:val="nil"/>
              <w:left w:val="nil"/>
              <w:bottom w:val="nil"/>
              <w:right w:val="nil"/>
            </w:tcBorders>
          </w:tcPr>
          <w:p w:rsidR="00DF26C1" w:rsidRDefault="00DF26C1" w:rsidP="007B6DBD">
            <w:pPr>
              <w:pStyle w:val="TableParagraph"/>
              <w:kinsoku w:val="0"/>
              <w:overflowPunct w:val="0"/>
              <w:spacing w:before="1"/>
              <w:ind w:left="63"/>
            </w:pPr>
            <w:r>
              <w:rPr>
                <w:rFonts w:ascii="Arial" w:hAnsi="Arial" w:cs="Arial"/>
                <w:w w:val="105"/>
                <w:sz w:val="9"/>
                <w:szCs w:val="9"/>
              </w:rPr>
              <w:t>31</w:t>
            </w:r>
          </w:p>
        </w:tc>
        <w:tc>
          <w:tcPr>
            <w:tcW w:w="281" w:type="dxa"/>
            <w:tcBorders>
              <w:top w:val="nil"/>
              <w:left w:val="nil"/>
              <w:bottom w:val="nil"/>
              <w:right w:val="nil"/>
            </w:tcBorders>
          </w:tcPr>
          <w:p w:rsidR="00DF26C1" w:rsidRDefault="00DF26C1" w:rsidP="007B6DBD">
            <w:pPr>
              <w:pStyle w:val="TableParagraph"/>
              <w:kinsoku w:val="0"/>
              <w:overflowPunct w:val="0"/>
              <w:spacing w:before="1"/>
              <w:ind w:left="99"/>
            </w:pPr>
            <w:r>
              <w:rPr>
                <w:rFonts w:ascii="Arial" w:hAnsi="Arial" w:cs="Arial"/>
                <w:w w:val="105"/>
                <w:sz w:val="9"/>
                <w:szCs w:val="9"/>
              </w:rPr>
              <w:t>872</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1"/>
              <w:ind w:left="107"/>
            </w:pPr>
            <w:r>
              <w:rPr>
                <w:rFonts w:ascii="Arial" w:hAnsi="Arial" w:cs="Arial"/>
                <w:w w:val="105"/>
                <w:sz w:val="9"/>
                <w:szCs w:val="9"/>
              </w:rPr>
              <w:t>61</w:t>
            </w:r>
          </w:p>
        </w:tc>
        <w:tc>
          <w:tcPr>
            <w:tcW w:w="302" w:type="dxa"/>
            <w:tcBorders>
              <w:top w:val="nil"/>
              <w:left w:val="nil"/>
              <w:bottom w:val="nil"/>
              <w:right w:val="nil"/>
            </w:tcBorders>
          </w:tcPr>
          <w:p w:rsidR="00DF26C1" w:rsidRDefault="00DF26C1" w:rsidP="007B6DBD">
            <w:pPr>
              <w:pStyle w:val="TableParagraph"/>
              <w:kinsoku w:val="0"/>
              <w:overflowPunct w:val="0"/>
              <w:spacing w:before="1"/>
              <w:ind w:left="119"/>
            </w:pPr>
            <w:r>
              <w:rPr>
                <w:rFonts w:ascii="Arial" w:hAnsi="Arial" w:cs="Arial"/>
                <w:w w:val="105"/>
                <w:sz w:val="9"/>
                <w:szCs w:val="9"/>
              </w:rPr>
              <w:t>109</w:t>
            </w:r>
          </w:p>
        </w:tc>
        <w:tc>
          <w:tcPr>
            <w:tcW w:w="259" w:type="dxa"/>
            <w:tcBorders>
              <w:top w:val="nil"/>
              <w:left w:val="nil"/>
              <w:bottom w:val="nil"/>
              <w:right w:val="nil"/>
            </w:tcBorders>
          </w:tcPr>
          <w:p w:rsidR="00DF26C1" w:rsidRDefault="00DF26C1" w:rsidP="007B6DBD">
            <w:pPr>
              <w:pStyle w:val="TableParagraph"/>
              <w:kinsoku w:val="0"/>
              <w:overflowPunct w:val="0"/>
              <w:spacing w:before="1"/>
              <w:ind w:left="49"/>
            </w:pPr>
            <w:r>
              <w:rPr>
                <w:rFonts w:ascii="Arial" w:hAnsi="Arial" w:cs="Arial"/>
                <w:w w:val="105"/>
                <w:sz w:val="9"/>
                <w:szCs w:val="9"/>
              </w:rPr>
              <w:t>54,3</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1"/>
              <w:ind w:left="83"/>
            </w:pPr>
            <w:r>
              <w:rPr>
                <w:rFonts w:ascii="Arial" w:hAnsi="Arial" w:cs="Arial"/>
                <w:w w:val="105"/>
                <w:sz w:val="9"/>
                <w:szCs w:val="9"/>
              </w:rPr>
              <w:t>11,2</w:t>
            </w:r>
          </w:p>
        </w:tc>
        <w:tc>
          <w:tcPr>
            <w:tcW w:w="250" w:type="dxa"/>
            <w:tcBorders>
              <w:top w:val="nil"/>
              <w:left w:val="nil"/>
              <w:bottom w:val="nil"/>
              <w:right w:val="nil"/>
            </w:tcBorders>
          </w:tcPr>
          <w:p w:rsidR="00DF26C1" w:rsidRDefault="00DF26C1" w:rsidP="007B6DBD">
            <w:pPr>
              <w:pStyle w:val="TableParagraph"/>
              <w:kinsoku w:val="0"/>
              <w:overflowPunct w:val="0"/>
              <w:spacing w:before="1"/>
              <w:ind w:left="93"/>
            </w:pPr>
            <w:r>
              <w:rPr>
                <w:rFonts w:ascii="Arial" w:hAnsi="Arial" w:cs="Arial"/>
                <w:w w:val="105"/>
                <w:sz w:val="9"/>
                <w:szCs w:val="9"/>
              </w:rPr>
              <w:t>1,3</w:t>
            </w:r>
          </w:p>
        </w:tc>
        <w:tc>
          <w:tcPr>
            <w:tcW w:w="248" w:type="dxa"/>
            <w:tcBorders>
              <w:top w:val="nil"/>
              <w:left w:val="nil"/>
              <w:bottom w:val="nil"/>
              <w:right w:val="nil"/>
            </w:tcBorders>
          </w:tcPr>
          <w:p w:rsidR="00DF26C1" w:rsidRDefault="00DF26C1" w:rsidP="007B6DBD">
            <w:pPr>
              <w:pStyle w:val="TableParagraph"/>
              <w:kinsoku w:val="0"/>
              <w:overflowPunct w:val="0"/>
              <w:spacing w:before="1"/>
              <w:ind w:left="93"/>
            </w:pPr>
            <w:r>
              <w:rPr>
                <w:rFonts w:ascii="Arial" w:hAnsi="Arial" w:cs="Arial"/>
                <w:w w:val="105"/>
                <w:sz w:val="9"/>
                <w:szCs w:val="9"/>
              </w:rPr>
              <w:t>9,1</w:t>
            </w:r>
          </w:p>
        </w:tc>
        <w:tc>
          <w:tcPr>
            <w:tcW w:w="232" w:type="dxa"/>
            <w:tcBorders>
              <w:top w:val="nil"/>
              <w:left w:val="nil"/>
              <w:bottom w:val="nil"/>
              <w:right w:val="nil"/>
            </w:tcBorders>
          </w:tcPr>
          <w:p w:rsidR="00DF26C1" w:rsidRDefault="00DF26C1" w:rsidP="007B6DBD">
            <w:pPr>
              <w:pStyle w:val="TableParagraph"/>
              <w:kinsoku w:val="0"/>
              <w:overflowPunct w:val="0"/>
              <w:spacing w:before="1"/>
              <w:ind w:left="75"/>
            </w:pPr>
            <w:r>
              <w:rPr>
                <w:rFonts w:ascii="Arial" w:hAnsi="Arial" w:cs="Arial"/>
                <w:w w:val="105"/>
                <w:sz w:val="9"/>
                <w:szCs w:val="9"/>
              </w:rPr>
              <w:t>9,1</w:t>
            </w:r>
          </w:p>
        </w:tc>
        <w:tc>
          <w:tcPr>
            <w:tcW w:w="264" w:type="dxa"/>
            <w:tcBorders>
              <w:top w:val="nil"/>
              <w:left w:val="nil"/>
              <w:bottom w:val="nil"/>
              <w:right w:val="nil"/>
            </w:tcBorders>
          </w:tcPr>
          <w:p w:rsidR="00DF26C1" w:rsidRDefault="00DF26C1" w:rsidP="007B6DBD">
            <w:pPr>
              <w:pStyle w:val="TableParagraph"/>
              <w:kinsoku w:val="0"/>
              <w:overflowPunct w:val="0"/>
              <w:spacing w:before="1"/>
              <w:ind w:left="107"/>
            </w:pPr>
            <w:r>
              <w:rPr>
                <w:rFonts w:ascii="Arial" w:hAnsi="Arial" w:cs="Arial"/>
                <w:w w:val="105"/>
                <w:sz w:val="9"/>
                <w:szCs w:val="9"/>
              </w:rPr>
              <w:t>4,9</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1"/>
              <w:ind w:left="54"/>
            </w:pPr>
            <w:r>
              <w:rPr>
                <w:rFonts w:ascii="Arial" w:hAnsi="Arial" w:cs="Arial"/>
                <w:w w:val="105"/>
                <w:sz w:val="9"/>
                <w:szCs w:val="9"/>
              </w:rPr>
              <w:t>b.d.</w:t>
            </w:r>
          </w:p>
        </w:tc>
        <w:tc>
          <w:tcPr>
            <w:tcW w:w="225" w:type="dxa"/>
            <w:tcBorders>
              <w:top w:val="nil"/>
              <w:left w:val="nil"/>
              <w:bottom w:val="nil"/>
              <w:right w:val="nil"/>
            </w:tcBorders>
          </w:tcPr>
          <w:p w:rsidR="00DF26C1" w:rsidRDefault="00DF26C1" w:rsidP="007B6DBD">
            <w:pPr>
              <w:pStyle w:val="TableParagraph"/>
              <w:kinsoku w:val="0"/>
              <w:overflowPunct w:val="0"/>
              <w:spacing w:before="1"/>
              <w:ind w:left="145"/>
            </w:pPr>
            <w:r>
              <w:rPr>
                <w:rFonts w:ascii="Arial" w:hAnsi="Arial" w:cs="Arial"/>
                <w:w w:val="106"/>
                <w:sz w:val="9"/>
                <w:szCs w:val="9"/>
              </w:rPr>
              <w:t>8</w:t>
            </w:r>
          </w:p>
        </w:tc>
        <w:tc>
          <w:tcPr>
            <w:tcW w:w="625" w:type="dxa"/>
            <w:tcBorders>
              <w:top w:val="nil"/>
              <w:left w:val="nil"/>
              <w:bottom w:val="nil"/>
              <w:right w:val="nil"/>
            </w:tcBorders>
          </w:tcPr>
          <w:p w:rsidR="00DF26C1" w:rsidRDefault="00DF26C1" w:rsidP="007B6DBD">
            <w:pPr>
              <w:pStyle w:val="TableParagraph"/>
              <w:kinsoku w:val="0"/>
              <w:overflowPunct w:val="0"/>
              <w:spacing w:before="1"/>
              <w:ind w:left="255"/>
            </w:pPr>
            <w:r>
              <w:rPr>
                <w:rFonts w:ascii="Arial" w:hAnsi="Arial" w:cs="Arial"/>
                <w:w w:val="105"/>
                <w:sz w:val="9"/>
                <w:szCs w:val="9"/>
              </w:rPr>
              <w:t>0,70822</w:t>
            </w:r>
          </w:p>
        </w:tc>
        <w:tc>
          <w:tcPr>
            <w:tcW w:w="573" w:type="dxa"/>
            <w:tcBorders>
              <w:top w:val="nil"/>
              <w:left w:val="nil"/>
              <w:bottom w:val="nil"/>
              <w:right w:val="nil"/>
            </w:tcBorders>
          </w:tcPr>
          <w:p w:rsidR="00DF26C1" w:rsidRDefault="00DF26C1" w:rsidP="007B6DBD">
            <w:pPr>
              <w:pStyle w:val="TableParagraph"/>
              <w:kinsoku w:val="0"/>
              <w:overflowPunct w:val="0"/>
              <w:spacing w:before="1"/>
              <w:ind w:left="213"/>
            </w:pPr>
            <w:r>
              <w:rPr>
                <w:rFonts w:ascii="Arial" w:hAnsi="Arial" w:cs="Arial"/>
                <w:w w:val="105"/>
                <w:sz w:val="9"/>
                <w:szCs w:val="9"/>
              </w:rPr>
              <w:t>0,70670</w:t>
            </w:r>
          </w:p>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1"/>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S.</w:t>
            </w:r>
            <w:r>
              <w:rPr>
                <w:rFonts w:ascii="Arial" w:hAnsi="Arial" w:cs="Arial"/>
                <w:spacing w:val="-1"/>
                <w:w w:val="105"/>
                <w:sz w:val="9"/>
                <w:szCs w:val="9"/>
              </w:rPr>
              <w:t xml:space="preserve"> </w:t>
            </w:r>
            <w:r>
              <w:rPr>
                <w:rFonts w:ascii="Arial" w:hAnsi="Arial" w:cs="Arial"/>
                <w:w w:val="105"/>
                <w:sz w:val="9"/>
                <w:szCs w:val="9"/>
              </w:rPr>
              <w:t>Antioco</w:t>
            </w:r>
          </w:p>
        </w:tc>
        <w:tc>
          <w:tcPr>
            <w:tcW w:w="503" w:type="dxa"/>
            <w:tcBorders>
              <w:top w:val="nil"/>
              <w:left w:val="nil"/>
              <w:bottom w:val="nil"/>
              <w:right w:val="nil"/>
            </w:tcBorders>
          </w:tcPr>
          <w:p w:rsidR="00DF26C1" w:rsidRDefault="00DF26C1" w:rsidP="007B6DBD">
            <w:pPr>
              <w:pStyle w:val="TableParagraph"/>
              <w:kinsoku w:val="0"/>
              <w:overflowPunct w:val="0"/>
              <w:spacing w:before="11"/>
              <w:ind w:left="17"/>
              <w:jc w:val="center"/>
            </w:pPr>
            <w:r>
              <w:rPr>
                <w:rFonts w:ascii="Arial" w:hAnsi="Arial" w:cs="Arial"/>
                <w:w w:val="105"/>
                <w:sz w:val="9"/>
                <w:szCs w:val="9"/>
              </w:rPr>
              <w:t>44</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comendite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comendite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37/Fbis</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65"/>
            </w:pPr>
            <w:r>
              <w:rPr>
                <w:rFonts w:ascii="Arial" w:hAnsi="Arial" w:cs="Arial"/>
                <w:w w:val="105"/>
                <w:sz w:val="9"/>
                <w:szCs w:val="9"/>
              </w:rPr>
              <w:t>Bu/La</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0"/>
              <w:jc w:val="center"/>
            </w:pPr>
            <w:r>
              <w:rPr>
                <w:rFonts w:ascii="Arial" w:hAnsi="Arial" w:cs="Arial"/>
                <w:w w:val="106"/>
                <w:sz w:val="9"/>
                <w:szCs w:val="9"/>
              </w:rPr>
              <w:t>9</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72,10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0,32</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11,80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4,39</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0,36</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0,13</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0,22</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0,20</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5,08</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4,82</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0,04</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0,55</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100,01</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258</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123"/>
            </w:pPr>
            <w:r>
              <w:rPr>
                <w:rFonts w:ascii="Arial" w:hAnsi="Arial" w:cs="Arial"/>
                <w:w w:val="105"/>
                <w:sz w:val="9"/>
                <w:szCs w:val="9"/>
              </w:rPr>
              <w:t>11</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96</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1120</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37"/>
            </w:pPr>
            <w:r>
              <w:rPr>
                <w:rFonts w:ascii="Arial" w:hAnsi="Arial" w:cs="Arial"/>
                <w:w w:val="105"/>
                <w:sz w:val="9"/>
                <w:szCs w:val="9"/>
              </w:rPr>
              <w:t>132</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103</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111</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19"/>
            </w:pPr>
            <w:r>
              <w:rPr>
                <w:rFonts w:ascii="Arial" w:hAnsi="Arial" w:cs="Arial"/>
                <w:w w:val="105"/>
                <w:sz w:val="9"/>
                <w:szCs w:val="9"/>
              </w:rPr>
              <w:t>210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94,9</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21,1</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1,1</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17,4</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16,6</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9,5</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b.d.</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145"/>
            </w:pPr>
            <w:r>
              <w:rPr>
                <w:rFonts w:ascii="Arial" w:hAnsi="Arial" w:cs="Arial"/>
                <w:w w:val="106"/>
                <w:sz w:val="9"/>
                <w:szCs w:val="9"/>
              </w:rPr>
              <w:t>4</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0,72202</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0,70693</w:t>
            </w:r>
          </w:p>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4"/>
        </w:trPr>
        <w:tc>
          <w:tcPr>
            <w:tcW w:w="921" w:type="dxa"/>
            <w:tcBorders>
              <w:top w:val="nil"/>
              <w:left w:val="nil"/>
              <w:bottom w:val="nil"/>
              <w:right w:val="nil"/>
            </w:tcBorders>
          </w:tcPr>
          <w:p w:rsidR="00DF26C1" w:rsidRDefault="00DF26C1" w:rsidP="007B6DBD">
            <w:pPr>
              <w:pStyle w:val="TableParagraph"/>
              <w:kinsoku w:val="0"/>
              <w:overflowPunct w:val="0"/>
              <w:ind w:left="23"/>
            </w:pPr>
            <w:r>
              <w:rPr>
                <w:rFonts w:ascii="Arial" w:hAnsi="Arial" w:cs="Arial"/>
                <w:w w:val="105"/>
                <w:sz w:val="9"/>
                <w:szCs w:val="9"/>
              </w:rPr>
              <w:t>"; SE</w:t>
            </w:r>
            <w:r>
              <w:rPr>
                <w:rFonts w:ascii="Arial" w:hAnsi="Arial" w:cs="Arial"/>
                <w:spacing w:val="2"/>
                <w:w w:val="105"/>
                <w:sz w:val="9"/>
                <w:szCs w:val="9"/>
              </w:rPr>
              <w:t xml:space="preserve"> </w:t>
            </w:r>
            <w:r>
              <w:rPr>
                <w:rFonts w:ascii="Arial" w:hAnsi="Arial" w:cs="Arial"/>
                <w:w w:val="105"/>
                <w:sz w:val="9"/>
                <w:szCs w:val="9"/>
              </w:rPr>
              <w:t>offshore</w:t>
            </w:r>
          </w:p>
        </w:tc>
        <w:tc>
          <w:tcPr>
            <w:tcW w:w="503" w:type="dxa"/>
            <w:tcBorders>
              <w:top w:val="nil"/>
              <w:left w:val="nil"/>
              <w:bottom w:val="nil"/>
              <w:right w:val="nil"/>
            </w:tcBorders>
          </w:tcPr>
          <w:p w:rsidR="00DF26C1" w:rsidRDefault="00DF26C1" w:rsidP="007B6DBD">
            <w:pPr>
              <w:pStyle w:val="TableParagraph"/>
              <w:kinsoku w:val="0"/>
              <w:overflowPunct w:val="0"/>
              <w:ind w:left="17"/>
              <w:jc w:val="center"/>
            </w:pPr>
            <w:r>
              <w:rPr>
                <w:rFonts w:ascii="Arial" w:hAnsi="Arial" w:cs="Arial"/>
                <w:w w:val="105"/>
                <w:sz w:val="9"/>
                <w:szCs w:val="9"/>
              </w:rPr>
              <w:t>45</w:t>
            </w:r>
          </w:p>
        </w:tc>
        <w:tc>
          <w:tcPr>
            <w:tcW w:w="624" w:type="dxa"/>
            <w:tcBorders>
              <w:top w:val="nil"/>
              <w:left w:val="nil"/>
              <w:bottom w:val="nil"/>
              <w:right w:val="nil"/>
            </w:tcBorders>
          </w:tcPr>
          <w:p w:rsidR="00DF26C1" w:rsidRDefault="00DF26C1" w:rsidP="007B6DBD">
            <w:pPr>
              <w:pStyle w:val="TableParagraph"/>
              <w:kinsoku w:val="0"/>
              <w:overflowPunct w:val="0"/>
              <w:ind w:left="16"/>
            </w:pPr>
            <w:r>
              <w:rPr>
                <w:rFonts w:ascii="Arial" w:hAnsi="Arial" w:cs="Arial"/>
                <w:w w:val="105"/>
                <w:sz w:val="9"/>
                <w:szCs w:val="9"/>
              </w:rPr>
              <w:t>shoshonite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ind w:left="21"/>
            </w:pPr>
            <w:r>
              <w:rPr>
                <w:rFonts w:ascii="Arial" w:hAnsi="Arial" w:cs="Arial"/>
                <w:w w:val="105"/>
                <w:sz w:val="9"/>
                <w:szCs w:val="9"/>
              </w:rPr>
              <w:t>shoshonite</w:t>
            </w:r>
          </w:p>
        </w:tc>
        <w:tc>
          <w:tcPr>
            <w:tcW w:w="611" w:type="dxa"/>
            <w:tcBorders>
              <w:top w:val="nil"/>
              <w:left w:val="nil"/>
              <w:bottom w:val="nil"/>
              <w:right w:val="nil"/>
            </w:tcBorders>
          </w:tcPr>
          <w:p w:rsidR="00DF26C1" w:rsidRDefault="00DF26C1" w:rsidP="007B6DBD">
            <w:pPr>
              <w:pStyle w:val="TableParagraph"/>
              <w:kinsoku w:val="0"/>
              <w:overflowPunct w:val="0"/>
              <w:ind w:left="6"/>
            </w:pPr>
            <w:r>
              <w:rPr>
                <w:rFonts w:ascii="Arial" w:hAnsi="Arial" w:cs="Arial"/>
                <w:w w:val="105"/>
                <w:sz w:val="9"/>
                <w:szCs w:val="9"/>
              </w:rPr>
              <w:t>Sar1.03</w:t>
            </w:r>
          </w:p>
        </w:tc>
        <w:tc>
          <w:tcPr>
            <w:tcW w:w="437" w:type="dxa"/>
            <w:tcBorders>
              <w:top w:val="nil"/>
              <w:left w:val="nil"/>
              <w:bottom w:val="nil"/>
              <w:right w:val="nil"/>
            </w:tcBorders>
          </w:tcPr>
          <w:p w:rsidR="00DF26C1" w:rsidRDefault="00DF26C1" w:rsidP="007B6DBD">
            <w:pPr>
              <w:pStyle w:val="TableParagraph"/>
              <w:kinsoku w:val="0"/>
              <w:overflowPunct w:val="0"/>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ind w:left="112"/>
            </w:pPr>
            <w:r>
              <w:rPr>
                <w:rFonts w:ascii="Arial" w:hAnsi="Arial" w:cs="Arial"/>
                <w:w w:val="105"/>
                <w:sz w:val="9"/>
                <w:szCs w:val="9"/>
              </w:rPr>
              <w:t>16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ind w:left="84"/>
            </w:pPr>
            <w:r>
              <w:rPr>
                <w:rFonts w:ascii="Arial" w:hAnsi="Arial" w:cs="Arial"/>
                <w:w w:val="105"/>
                <w:sz w:val="9"/>
                <w:szCs w:val="9"/>
              </w:rPr>
              <w:t>60,3</w:t>
            </w:r>
          </w:p>
        </w:tc>
        <w:tc>
          <w:tcPr>
            <w:tcW w:w="293"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0,31</w:t>
            </w:r>
          </w:p>
        </w:tc>
        <w:tc>
          <w:tcPr>
            <w:tcW w:w="308" w:type="dxa"/>
            <w:tcBorders>
              <w:top w:val="nil"/>
              <w:left w:val="nil"/>
              <w:bottom w:val="nil"/>
              <w:right w:val="nil"/>
            </w:tcBorders>
          </w:tcPr>
          <w:p w:rsidR="00DF26C1" w:rsidRDefault="00DF26C1" w:rsidP="007B6DBD">
            <w:pPr>
              <w:pStyle w:val="TableParagraph"/>
              <w:kinsoku w:val="0"/>
              <w:overflowPunct w:val="0"/>
              <w:ind w:left="57"/>
            </w:pPr>
            <w:r>
              <w:rPr>
                <w:rFonts w:ascii="Arial" w:hAnsi="Arial" w:cs="Arial"/>
                <w:w w:val="105"/>
                <w:sz w:val="9"/>
                <w:szCs w:val="9"/>
              </w:rPr>
              <w:t>17,94</w:t>
            </w:r>
          </w:p>
        </w:tc>
        <w:tc>
          <w:tcPr>
            <w:tcW w:w="353" w:type="dxa"/>
            <w:tcBorders>
              <w:top w:val="nil"/>
              <w:left w:val="nil"/>
              <w:bottom w:val="nil"/>
              <w:right w:val="nil"/>
            </w:tcBorders>
          </w:tcPr>
          <w:p w:rsidR="00DF26C1" w:rsidRDefault="00DF26C1" w:rsidP="007B6DBD">
            <w:pPr>
              <w:pStyle w:val="TableParagraph"/>
              <w:kinsoku w:val="0"/>
              <w:overflowPunct w:val="0"/>
              <w:ind w:left="140"/>
            </w:pPr>
            <w:r>
              <w:rPr>
                <w:rFonts w:ascii="Arial" w:hAnsi="Arial" w:cs="Arial"/>
                <w:w w:val="105"/>
                <w:sz w:val="9"/>
                <w:szCs w:val="9"/>
              </w:rPr>
              <w:t>2,17</w:t>
            </w:r>
          </w:p>
        </w:tc>
        <w:tc>
          <w:tcPr>
            <w:tcW w:w="234" w:type="dxa"/>
            <w:tcBorders>
              <w:top w:val="nil"/>
              <w:left w:val="nil"/>
              <w:bottom w:val="nil"/>
              <w:right w:val="nil"/>
            </w:tcBorders>
          </w:tcPr>
          <w:p w:rsidR="00DF26C1" w:rsidRDefault="00DF26C1" w:rsidP="007B6DBD">
            <w:pPr>
              <w:pStyle w:val="TableParagraph"/>
              <w:kinsoku w:val="0"/>
              <w:overflowPunct w:val="0"/>
              <w:ind w:right="28"/>
              <w:jc w:val="right"/>
            </w:pPr>
            <w:r>
              <w:rPr>
                <w:rFonts w:ascii="Arial" w:hAnsi="Arial" w:cs="Arial"/>
                <w:w w:val="106"/>
                <w:sz w:val="9"/>
                <w:szCs w:val="9"/>
              </w:rPr>
              <w:t>-</w:t>
            </w:r>
          </w:p>
        </w:tc>
        <w:tc>
          <w:tcPr>
            <w:tcW w:w="224" w:type="dxa"/>
            <w:tcBorders>
              <w:top w:val="nil"/>
              <w:left w:val="nil"/>
              <w:bottom w:val="nil"/>
              <w:right w:val="nil"/>
            </w:tcBorders>
          </w:tcPr>
          <w:p w:rsidR="00DF26C1" w:rsidRDefault="00DF26C1" w:rsidP="007B6DBD"/>
        </w:tc>
        <w:tc>
          <w:tcPr>
            <w:tcW w:w="269"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1,1</w:t>
            </w:r>
          </w:p>
        </w:tc>
        <w:tc>
          <w:tcPr>
            <w:tcW w:w="261" w:type="dxa"/>
            <w:tcBorders>
              <w:top w:val="nil"/>
              <w:left w:val="nil"/>
              <w:bottom w:val="nil"/>
              <w:right w:val="nil"/>
            </w:tcBorders>
          </w:tcPr>
          <w:p w:rsidR="00DF26C1" w:rsidRDefault="00DF26C1" w:rsidP="007B6DBD">
            <w:pPr>
              <w:pStyle w:val="TableParagraph"/>
              <w:kinsoku w:val="0"/>
              <w:overflowPunct w:val="0"/>
              <w:ind w:left="56"/>
            </w:pPr>
            <w:r>
              <w:rPr>
                <w:rFonts w:ascii="Arial" w:hAnsi="Arial" w:cs="Arial"/>
                <w:w w:val="105"/>
                <w:sz w:val="9"/>
                <w:szCs w:val="9"/>
              </w:rPr>
              <w:t>2,57</w:t>
            </w:r>
          </w:p>
        </w:tc>
        <w:tc>
          <w:tcPr>
            <w:tcW w:w="278"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5,48</w:t>
            </w:r>
          </w:p>
        </w:tc>
        <w:tc>
          <w:tcPr>
            <w:tcW w:w="237" w:type="dxa"/>
            <w:tcBorders>
              <w:top w:val="nil"/>
              <w:left w:val="nil"/>
              <w:bottom w:val="nil"/>
              <w:right w:val="nil"/>
            </w:tcBorders>
          </w:tcPr>
          <w:p w:rsidR="00DF26C1" w:rsidRDefault="00DF26C1" w:rsidP="007B6DBD">
            <w:pPr>
              <w:pStyle w:val="TableParagraph"/>
              <w:kinsoku w:val="0"/>
              <w:overflowPunct w:val="0"/>
              <w:ind w:left="79"/>
            </w:pPr>
            <w:r>
              <w:rPr>
                <w:rFonts w:ascii="Arial" w:hAnsi="Arial" w:cs="Arial"/>
                <w:w w:val="105"/>
                <w:sz w:val="9"/>
                <w:szCs w:val="9"/>
              </w:rPr>
              <w:t>5,7</w:t>
            </w:r>
          </w:p>
        </w:tc>
        <w:tc>
          <w:tcPr>
            <w:tcW w:w="296"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0,13</w:t>
            </w:r>
          </w:p>
        </w:tc>
        <w:tc>
          <w:tcPr>
            <w:tcW w:w="274" w:type="dxa"/>
            <w:tcBorders>
              <w:top w:val="nil"/>
              <w:left w:val="nil"/>
              <w:bottom w:val="nil"/>
              <w:right w:val="nil"/>
            </w:tcBorders>
          </w:tcPr>
          <w:p w:rsidR="00DF26C1" w:rsidRDefault="00DF26C1" w:rsidP="007B6DBD">
            <w:pPr>
              <w:pStyle w:val="TableParagraph"/>
              <w:kinsoku w:val="0"/>
              <w:overflowPunct w:val="0"/>
              <w:ind w:left="64"/>
            </w:pPr>
            <w:r>
              <w:rPr>
                <w:rFonts w:ascii="Arial" w:hAnsi="Arial" w:cs="Arial"/>
                <w:w w:val="105"/>
                <w:sz w:val="9"/>
                <w:szCs w:val="9"/>
              </w:rPr>
              <w:t>3,47</w:t>
            </w:r>
          </w:p>
        </w:tc>
        <w:tc>
          <w:tcPr>
            <w:tcW w:w="350"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99,12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ind w:left="59"/>
            </w:pPr>
            <w:r>
              <w:rPr>
                <w:rFonts w:ascii="Arial" w:hAnsi="Arial" w:cs="Arial"/>
                <w:w w:val="105"/>
                <w:sz w:val="9"/>
                <w:szCs w:val="9"/>
              </w:rPr>
              <w:t>100</w:t>
            </w:r>
          </w:p>
        </w:tc>
        <w:tc>
          <w:tcPr>
            <w:tcW w:w="253" w:type="dxa"/>
            <w:tcBorders>
              <w:top w:val="nil"/>
              <w:left w:val="nil"/>
              <w:bottom w:val="nil"/>
              <w:right w:val="nil"/>
            </w:tcBorders>
          </w:tcPr>
          <w:p w:rsidR="00DF26C1" w:rsidRDefault="00DF26C1" w:rsidP="007B6DBD">
            <w:pPr>
              <w:pStyle w:val="TableParagraph"/>
              <w:kinsoku w:val="0"/>
              <w:overflowPunct w:val="0"/>
              <w:ind w:left="70"/>
            </w:pPr>
            <w:r>
              <w:rPr>
                <w:rFonts w:ascii="Arial" w:hAnsi="Arial" w:cs="Arial"/>
                <w:w w:val="105"/>
                <w:sz w:val="9"/>
                <w:szCs w:val="9"/>
              </w:rPr>
              <w:t>156</w:t>
            </w:r>
          </w:p>
        </w:tc>
        <w:tc>
          <w:tcPr>
            <w:tcW w:w="245" w:type="dxa"/>
            <w:tcBorders>
              <w:top w:val="nil"/>
              <w:left w:val="nil"/>
              <w:bottom w:val="nil"/>
              <w:right w:val="nil"/>
            </w:tcBorders>
          </w:tcPr>
          <w:p w:rsidR="00DF26C1" w:rsidRDefault="00DF26C1" w:rsidP="007B6DBD">
            <w:pPr>
              <w:pStyle w:val="TableParagraph"/>
              <w:kinsoku w:val="0"/>
              <w:overflowPunct w:val="0"/>
              <w:ind w:left="88"/>
            </w:pPr>
            <w:r>
              <w:rPr>
                <w:rFonts w:ascii="Arial" w:hAnsi="Arial" w:cs="Arial"/>
                <w:w w:val="105"/>
                <w:sz w:val="9"/>
                <w:szCs w:val="9"/>
              </w:rPr>
              <w:t>7,5</w:t>
            </w:r>
          </w:p>
        </w:tc>
        <w:tc>
          <w:tcPr>
            <w:tcW w:w="259" w:type="dxa"/>
            <w:tcBorders>
              <w:top w:val="nil"/>
              <w:left w:val="nil"/>
              <w:bottom w:val="nil"/>
              <w:right w:val="nil"/>
            </w:tcBorders>
          </w:tcPr>
          <w:p w:rsidR="00DF26C1" w:rsidRDefault="00DF26C1" w:rsidP="007B6DBD">
            <w:pPr>
              <w:pStyle w:val="TableParagraph"/>
              <w:kinsoku w:val="0"/>
              <w:overflowPunct w:val="0"/>
              <w:ind w:left="76"/>
            </w:pPr>
            <w:r>
              <w:rPr>
                <w:rFonts w:ascii="Arial" w:hAnsi="Arial" w:cs="Arial"/>
                <w:w w:val="105"/>
                <w:sz w:val="9"/>
                <w:szCs w:val="9"/>
              </w:rPr>
              <w:t>127</w:t>
            </w:r>
          </w:p>
        </w:tc>
        <w:tc>
          <w:tcPr>
            <w:tcW w:w="223" w:type="dxa"/>
            <w:tcBorders>
              <w:top w:val="nil"/>
              <w:left w:val="nil"/>
              <w:bottom w:val="nil"/>
              <w:right w:val="nil"/>
            </w:tcBorders>
          </w:tcPr>
          <w:p w:rsidR="00DF26C1" w:rsidRDefault="00DF26C1" w:rsidP="007B6DBD">
            <w:pPr>
              <w:pStyle w:val="TableParagraph"/>
              <w:kinsoku w:val="0"/>
              <w:overflowPunct w:val="0"/>
              <w:ind w:left="63"/>
            </w:pPr>
            <w:r>
              <w:rPr>
                <w:rFonts w:ascii="Arial" w:hAnsi="Arial" w:cs="Arial"/>
                <w:w w:val="105"/>
                <w:sz w:val="9"/>
                <w:szCs w:val="9"/>
              </w:rPr>
              <w:t>13</w:t>
            </w:r>
          </w:p>
        </w:tc>
        <w:tc>
          <w:tcPr>
            <w:tcW w:w="281" w:type="dxa"/>
            <w:tcBorders>
              <w:top w:val="nil"/>
              <w:left w:val="nil"/>
              <w:bottom w:val="nil"/>
              <w:right w:val="nil"/>
            </w:tcBorders>
          </w:tcPr>
          <w:p w:rsidR="00DF26C1" w:rsidRDefault="00DF26C1" w:rsidP="007B6DBD">
            <w:pPr>
              <w:pStyle w:val="TableParagraph"/>
              <w:kinsoku w:val="0"/>
              <w:overflowPunct w:val="0"/>
              <w:ind w:left="99"/>
            </w:pPr>
            <w:r>
              <w:rPr>
                <w:rFonts w:ascii="Arial" w:hAnsi="Arial" w:cs="Arial"/>
                <w:w w:val="105"/>
                <w:sz w:val="9"/>
                <w:szCs w:val="9"/>
              </w:rPr>
              <w:t>412</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35</w:t>
            </w:r>
          </w:p>
        </w:tc>
        <w:tc>
          <w:tcPr>
            <w:tcW w:w="302"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59,8</w:t>
            </w:r>
          </w:p>
        </w:tc>
        <w:tc>
          <w:tcPr>
            <w:tcW w:w="259" w:type="dxa"/>
            <w:tcBorders>
              <w:top w:val="nil"/>
              <w:left w:val="nil"/>
              <w:bottom w:val="nil"/>
              <w:right w:val="nil"/>
            </w:tcBorders>
          </w:tcPr>
          <w:p w:rsidR="00DF26C1" w:rsidRDefault="00DF26C1" w:rsidP="007B6DBD">
            <w:pPr>
              <w:pStyle w:val="TableParagraph"/>
              <w:kinsoku w:val="0"/>
              <w:overflowPunct w:val="0"/>
              <w:ind w:left="49"/>
            </w:pPr>
            <w:r>
              <w:rPr>
                <w:rFonts w:ascii="Arial" w:hAnsi="Arial" w:cs="Arial"/>
                <w:w w:val="105"/>
                <w:sz w:val="9"/>
                <w:szCs w:val="9"/>
              </w:rPr>
              <w:t>19,7</w:t>
            </w:r>
          </w:p>
        </w:tc>
        <w:tc>
          <w:tcPr>
            <w:tcW w:w="293" w:type="dxa"/>
            <w:gridSpan w:val="2"/>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2,79</w:t>
            </w:r>
          </w:p>
        </w:tc>
        <w:tc>
          <w:tcPr>
            <w:tcW w:w="250"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0,6</w:t>
            </w:r>
          </w:p>
        </w:tc>
        <w:tc>
          <w:tcPr>
            <w:tcW w:w="248" w:type="dxa"/>
            <w:tcBorders>
              <w:top w:val="nil"/>
              <w:left w:val="nil"/>
              <w:bottom w:val="nil"/>
              <w:right w:val="nil"/>
            </w:tcBorders>
          </w:tcPr>
          <w:p w:rsidR="00DF26C1" w:rsidRDefault="00DF26C1" w:rsidP="007B6DBD">
            <w:pPr>
              <w:pStyle w:val="TableParagraph"/>
              <w:kinsoku w:val="0"/>
              <w:overflowPunct w:val="0"/>
              <w:ind w:right="20"/>
              <w:jc w:val="right"/>
            </w:pPr>
            <w:r>
              <w:rPr>
                <w:rFonts w:ascii="Arial" w:hAnsi="Arial" w:cs="Arial"/>
                <w:w w:val="106"/>
                <w:sz w:val="9"/>
                <w:szCs w:val="9"/>
              </w:rPr>
              <w:t>2</w:t>
            </w:r>
          </w:p>
        </w:tc>
        <w:tc>
          <w:tcPr>
            <w:tcW w:w="232" w:type="dxa"/>
            <w:tcBorders>
              <w:top w:val="nil"/>
              <w:left w:val="nil"/>
              <w:bottom w:val="nil"/>
              <w:right w:val="nil"/>
            </w:tcBorders>
          </w:tcPr>
          <w:p w:rsidR="00DF26C1" w:rsidRDefault="00DF26C1" w:rsidP="007B6DBD">
            <w:pPr>
              <w:pStyle w:val="TableParagraph"/>
              <w:kinsoku w:val="0"/>
              <w:overflowPunct w:val="0"/>
              <w:ind w:left="75"/>
            </w:pPr>
            <w:r>
              <w:rPr>
                <w:rFonts w:ascii="Arial" w:hAnsi="Arial" w:cs="Arial"/>
                <w:w w:val="105"/>
                <w:sz w:val="9"/>
                <w:szCs w:val="9"/>
              </w:rPr>
              <w:t>1,6</w:t>
            </w:r>
          </w:p>
        </w:tc>
        <w:tc>
          <w:tcPr>
            <w:tcW w:w="264"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0,76</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ind w:left="-11"/>
            </w:pPr>
            <w:r>
              <w:rPr>
                <w:rFonts w:ascii="Arial" w:hAnsi="Arial" w:cs="Arial"/>
                <w:w w:val="105"/>
                <w:sz w:val="9"/>
                <w:szCs w:val="9"/>
              </w:rPr>
              <w:t>12</w:t>
            </w:r>
          </w:p>
        </w:tc>
        <w:tc>
          <w:tcPr>
            <w:tcW w:w="225" w:type="dxa"/>
            <w:tcBorders>
              <w:top w:val="nil"/>
              <w:left w:val="nil"/>
              <w:bottom w:val="nil"/>
              <w:right w:val="nil"/>
            </w:tcBorders>
          </w:tcPr>
          <w:p w:rsidR="00DF26C1" w:rsidRDefault="00DF26C1" w:rsidP="007B6DBD">
            <w:pPr>
              <w:pStyle w:val="TableParagraph"/>
              <w:kinsoku w:val="0"/>
              <w:overflowPunct w:val="0"/>
              <w:ind w:left="40"/>
            </w:pPr>
            <w:r>
              <w:rPr>
                <w:rFonts w:ascii="Arial" w:hAnsi="Arial" w:cs="Arial"/>
                <w:w w:val="105"/>
                <w:sz w:val="9"/>
                <w:szCs w:val="9"/>
              </w:rPr>
              <w:t>b.d.</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ind w:left="193"/>
            </w:pPr>
            <w:r>
              <w:rPr>
                <w:rFonts w:ascii="Arial" w:hAnsi="Arial" w:cs="Arial"/>
                <w:w w:val="105"/>
                <w:sz w:val="9"/>
                <w:szCs w:val="9"/>
              </w:rPr>
              <w:t>0,512080</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1"/>
        </w:trPr>
        <w:tc>
          <w:tcPr>
            <w:tcW w:w="921" w:type="dxa"/>
            <w:tcBorders>
              <w:top w:val="nil"/>
              <w:left w:val="nil"/>
              <w:bottom w:val="nil"/>
              <w:right w:val="nil"/>
            </w:tcBorders>
          </w:tcPr>
          <w:p w:rsidR="00DF26C1" w:rsidRDefault="00DF26C1" w:rsidP="007B6DBD">
            <w:pPr>
              <w:pStyle w:val="TableParagraph"/>
              <w:kinsoku w:val="0"/>
              <w:overflowPunct w:val="0"/>
              <w:spacing w:before="11"/>
              <w:ind w:left="23"/>
            </w:pPr>
            <w:r>
              <w:rPr>
                <w:rFonts w:ascii="Arial" w:hAnsi="Arial" w:cs="Arial"/>
                <w:spacing w:val="-2"/>
                <w:w w:val="105"/>
                <w:sz w:val="9"/>
                <w:szCs w:val="9"/>
                <w:u w:val="single"/>
              </w:rPr>
              <w:t>Corsica;</w:t>
            </w:r>
            <w:r>
              <w:rPr>
                <w:rFonts w:ascii="Arial" w:hAnsi="Arial" w:cs="Arial"/>
                <w:spacing w:val="21"/>
                <w:w w:val="105"/>
                <w:sz w:val="9"/>
                <w:szCs w:val="9"/>
                <w:u w:val="single"/>
              </w:rPr>
              <w:t xml:space="preserve"> </w:t>
            </w:r>
            <w:r>
              <w:rPr>
                <w:rFonts w:ascii="Arial" w:hAnsi="Arial" w:cs="Arial"/>
                <w:spacing w:val="-2"/>
                <w:w w:val="105"/>
                <w:sz w:val="9"/>
                <w:szCs w:val="9"/>
              </w:rPr>
              <w:t>Balistra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23</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rhyolite</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pyroclastic</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B13</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17</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73,3</w:t>
            </w:r>
          </w:p>
        </w:tc>
        <w:tc>
          <w:tcPr>
            <w:tcW w:w="293" w:type="dxa"/>
            <w:tcBorders>
              <w:top w:val="nil"/>
              <w:left w:val="nil"/>
              <w:bottom w:val="nil"/>
              <w:right w:val="nil"/>
            </w:tcBorders>
          </w:tcPr>
          <w:p w:rsidR="00DF26C1" w:rsidRDefault="00DF26C1" w:rsidP="007B6DBD"/>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14,53</w:t>
            </w:r>
          </w:p>
        </w:tc>
        <w:tc>
          <w:tcPr>
            <w:tcW w:w="353" w:type="dxa"/>
            <w:tcBorders>
              <w:top w:val="nil"/>
              <w:left w:val="nil"/>
              <w:bottom w:val="nil"/>
              <w:right w:val="nil"/>
            </w:tcBorders>
          </w:tcPr>
          <w:p w:rsidR="00DF26C1" w:rsidRDefault="00DF26C1" w:rsidP="007B6DBD"/>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0,9</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1,99</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3,59</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3,3</w:t>
            </w:r>
          </w:p>
        </w:tc>
        <w:tc>
          <w:tcPr>
            <w:tcW w:w="296" w:type="dxa"/>
            <w:tcBorders>
              <w:top w:val="nil"/>
              <w:left w:val="nil"/>
              <w:bottom w:val="nil"/>
              <w:right w:val="nil"/>
            </w:tcBorders>
          </w:tcPr>
          <w:p w:rsidR="00DF26C1" w:rsidRDefault="00DF26C1" w:rsidP="007B6DBD"/>
        </w:tc>
        <w:tc>
          <w:tcPr>
            <w:tcW w:w="274" w:type="dxa"/>
            <w:tcBorders>
              <w:top w:val="nil"/>
              <w:left w:val="nil"/>
              <w:bottom w:val="nil"/>
              <w:right w:val="nil"/>
            </w:tcBorders>
          </w:tcPr>
          <w:p w:rsidR="00DF26C1" w:rsidRDefault="00DF26C1" w:rsidP="007B6DBD"/>
        </w:tc>
        <w:tc>
          <w:tcPr>
            <w:tcW w:w="350"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138</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123</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12</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128</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8</w:t>
            </w:r>
          </w:p>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pPr>
              <w:pStyle w:val="TableParagraph"/>
              <w:kinsoku w:val="0"/>
              <w:overflowPunct w:val="0"/>
              <w:spacing w:before="4"/>
              <w:ind w:left="101"/>
            </w:pPr>
            <w:r>
              <w:rPr>
                <w:rFonts w:ascii="Arial" w:hAnsi="Arial" w:cs="Arial"/>
                <w:w w:val="105"/>
                <w:sz w:val="9"/>
                <w:szCs w:val="9"/>
              </w:rPr>
              <w:t>11</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22</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37,9</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12,4</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2,12</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0,5</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1,8</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1,9</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1,53</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4"/>
        </w:trPr>
        <w:tc>
          <w:tcPr>
            <w:tcW w:w="921" w:type="dxa"/>
            <w:tcBorders>
              <w:top w:val="nil"/>
              <w:left w:val="nil"/>
              <w:bottom w:val="nil"/>
              <w:right w:val="nil"/>
            </w:tcBorders>
          </w:tcPr>
          <w:p w:rsidR="00DF26C1" w:rsidRDefault="00DF26C1" w:rsidP="007B6DBD">
            <w:pPr>
              <w:pStyle w:val="TableParagraph"/>
              <w:kinsoku w:val="0"/>
              <w:overflowPunct w:val="0"/>
              <w:ind w:left="23"/>
            </w:pPr>
            <w:r>
              <w:rPr>
                <w:rFonts w:ascii="Arial" w:hAnsi="Arial" w:cs="Arial"/>
                <w:w w:val="105"/>
                <w:sz w:val="9"/>
                <w:szCs w:val="9"/>
              </w:rPr>
              <w:t>"; SW</w:t>
            </w:r>
            <w:r>
              <w:rPr>
                <w:rFonts w:ascii="Arial" w:hAnsi="Arial" w:cs="Arial"/>
                <w:spacing w:val="7"/>
                <w:w w:val="105"/>
                <w:sz w:val="9"/>
                <w:szCs w:val="9"/>
              </w:rPr>
              <w:t xml:space="preserve"> </w:t>
            </w:r>
            <w:r>
              <w:rPr>
                <w:rFonts w:ascii="Arial" w:hAnsi="Arial" w:cs="Arial"/>
                <w:w w:val="105"/>
                <w:sz w:val="9"/>
                <w:szCs w:val="9"/>
              </w:rPr>
              <w:t>offshore</w:t>
            </w:r>
          </w:p>
        </w:tc>
        <w:tc>
          <w:tcPr>
            <w:tcW w:w="503" w:type="dxa"/>
            <w:tcBorders>
              <w:top w:val="nil"/>
              <w:left w:val="nil"/>
              <w:bottom w:val="nil"/>
              <w:right w:val="nil"/>
            </w:tcBorders>
          </w:tcPr>
          <w:p w:rsidR="00DF26C1" w:rsidRDefault="00DF26C1" w:rsidP="007B6DBD">
            <w:pPr>
              <w:pStyle w:val="TableParagraph"/>
              <w:kinsoku w:val="0"/>
              <w:overflowPunct w:val="0"/>
              <w:ind w:left="17"/>
              <w:jc w:val="center"/>
            </w:pPr>
            <w:r>
              <w:rPr>
                <w:rFonts w:ascii="Arial" w:hAnsi="Arial" w:cs="Arial"/>
                <w:w w:val="105"/>
                <w:sz w:val="9"/>
                <w:szCs w:val="9"/>
              </w:rPr>
              <w:t>24</w:t>
            </w:r>
          </w:p>
        </w:tc>
        <w:tc>
          <w:tcPr>
            <w:tcW w:w="624" w:type="dxa"/>
            <w:tcBorders>
              <w:top w:val="nil"/>
              <w:left w:val="nil"/>
              <w:bottom w:val="nil"/>
              <w:right w:val="nil"/>
            </w:tcBorders>
          </w:tcPr>
          <w:p w:rsidR="00DF26C1" w:rsidRDefault="00DF26C1" w:rsidP="007B6DBD">
            <w:pPr>
              <w:pStyle w:val="TableParagraph"/>
              <w:kinsoku w:val="0"/>
              <w:overflowPunct w:val="0"/>
              <w:ind w:left="16"/>
            </w:pPr>
            <w:r>
              <w:rPr>
                <w:rFonts w:ascii="Arial" w:hAnsi="Arial" w:cs="Arial"/>
                <w:w w:val="105"/>
                <w:sz w:val="9"/>
                <w:szCs w:val="9"/>
              </w:rPr>
              <w:t>andesite</w:t>
            </w:r>
          </w:p>
        </w:tc>
        <w:tc>
          <w:tcPr>
            <w:tcW w:w="1062" w:type="dxa"/>
            <w:gridSpan w:val="2"/>
            <w:tcBorders>
              <w:top w:val="nil"/>
              <w:left w:val="nil"/>
              <w:bottom w:val="nil"/>
              <w:right w:val="nil"/>
            </w:tcBorders>
          </w:tcPr>
          <w:p w:rsidR="00DF26C1" w:rsidRDefault="00DF26C1" w:rsidP="007B6DBD">
            <w:pPr>
              <w:pStyle w:val="TableParagraph"/>
              <w:kinsoku w:val="0"/>
              <w:overflowPunct w:val="0"/>
              <w:ind w:left="23"/>
            </w:pPr>
            <w:r>
              <w:rPr>
                <w:rFonts w:ascii="Arial" w:hAnsi="Arial" w:cs="Arial"/>
                <w:spacing w:val="-2"/>
                <w:w w:val="105"/>
                <w:sz w:val="9"/>
                <w:szCs w:val="9"/>
              </w:rPr>
              <w:t>amphibole+biotite</w:t>
            </w:r>
            <w:r>
              <w:rPr>
                <w:rFonts w:ascii="Arial" w:hAnsi="Arial" w:cs="Arial"/>
                <w:w w:val="105"/>
                <w:sz w:val="9"/>
                <w:szCs w:val="9"/>
              </w:rPr>
              <w:t xml:space="preserve">  </w:t>
            </w:r>
            <w:r>
              <w:rPr>
                <w:rFonts w:ascii="Arial" w:hAnsi="Arial" w:cs="Arial"/>
                <w:spacing w:val="-1"/>
                <w:w w:val="105"/>
                <w:sz w:val="9"/>
                <w:szCs w:val="9"/>
              </w:rPr>
              <w:t>bear.</w:t>
            </w:r>
          </w:p>
        </w:tc>
        <w:tc>
          <w:tcPr>
            <w:tcW w:w="611" w:type="dxa"/>
            <w:tcBorders>
              <w:top w:val="nil"/>
              <w:left w:val="nil"/>
              <w:bottom w:val="nil"/>
              <w:right w:val="nil"/>
            </w:tcBorders>
          </w:tcPr>
          <w:p w:rsidR="00DF26C1" w:rsidRDefault="00DF26C1" w:rsidP="007B6DBD">
            <w:pPr>
              <w:pStyle w:val="TableParagraph"/>
              <w:kinsoku w:val="0"/>
              <w:overflowPunct w:val="0"/>
              <w:ind w:left="6"/>
            </w:pPr>
            <w:r>
              <w:rPr>
                <w:rFonts w:ascii="Arial" w:hAnsi="Arial" w:cs="Arial"/>
                <w:w w:val="105"/>
                <w:sz w:val="9"/>
                <w:szCs w:val="9"/>
              </w:rPr>
              <w:t>DR02</w:t>
            </w:r>
          </w:p>
        </w:tc>
        <w:tc>
          <w:tcPr>
            <w:tcW w:w="437" w:type="dxa"/>
            <w:tcBorders>
              <w:top w:val="nil"/>
              <w:left w:val="nil"/>
              <w:bottom w:val="nil"/>
              <w:right w:val="nil"/>
            </w:tcBorders>
          </w:tcPr>
          <w:p w:rsidR="00DF26C1" w:rsidRDefault="00DF26C1" w:rsidP="007B6DBD">
            <w:pPr>
              <w:pStyle w:val="TableParagraph"/>
              <w:kinsoku w:val="0"/>
              <w:overflowPunct w:val="0"/>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ind w:left="112"/>
            </w:pPr>
            <w:r>
              <w:rPr>
                <w:rFonts w:ascii="Arial" w:hAnsi="Arial" w:cs="Arial"/>
                <w:w w:val="105"/>
                <w:sz w:val="9"/>
                <w:szCs w:val="9"/>
              </w:rPr>
              <w:t>13</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ind w:left="31"/>
            </w:pPr>
            <w:r>
              <w:rPr>
                <w:rFonts w:ascii="Arial" w:hAnsi="Arial" w:cs="Arial"/>
                <w:w w:val="105"/>
                <w:sz w:val="9"/>
                <w:szCs w:val="9"/>
              </w:rPr>
              <w:t>41,00</w:t>
            </w:r>
          </w:p>
        </w:tc>
        <w:tc>
          <w:tcPr>
            <w:tcW w:w="293"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0,49</w:t>
            </w:r>
          </w:p>
        </w:tc>
        <w:tc>
          <w:tcPr>
            <w:tcW w:w="308" w:type="dxa"/>
            <w:tcBorders>
              <w:top w:val="nil"/>
              <w:left w:val="nil"/>
              <w:bottom w:val="nil"/>
              <w:right w:val="nil"/>
            </w:tcBorders>
          </w:tcPr>
          <w:p w:rsidR="00DF26C1" w:rsidRDefault="00DF26C1" w:rsidP="007B6DBD">
            <w:pPr>
              <w:pStyle w:val="TableParagraph"/>
              <w:kinsoku w:val="0"/>
              <w:overflowPunct w:val="0"/>
              <w:ind w:left="57"/>
            </w:pPr>
            <w:r>
              <w:rPr>
                <w:rFonts w:ascii="Arial" w:hAnsi="Arial" w:cs="Arial"/>
                <w:w w:val="105"/>
                <w:sz w:val="9"/>
                <w:szCs w:val="9"/>
              </w:rPr>
              <w:t>18,45</w:t>
            </w:r>
          </w:p>
        </w:tc>
        <w:tc>
          <w:tcPr>
            <w:tcW w:w="353" w:type="dxa"/>
            <w:tcBorders>
              <w:top w:val="nil"/>
              <w:left w:val="nil"/>
              <w:bottom w:val="nil"/>
              <w:right w:val="nil"/>
            </w:tcBorders>
          </w:tcPr>
          <w:p w:rsidR="00DF26C1" w:rsidRDefault="00DF26C1" w:rsidP="007B6DBD">
            <w:pPr>
              <w:pStyle w:val="TableParagraph"/>
              <w:kinsoku w:val="0"/>
              <w:overflowPunct w:val="0"/>
              <w:ind w:left="140"/>
            </w:pPr>
            <w:r>
              <w:rPr>
                <w:rFonts w:ascii="Arial" w:hAnsi="Arial" w:cs="Arial"/>
                <w:w w:val="105"/>
                <w:sz w:val="9"/>
                <w:szCs w:val="9"/>
              </w:rPr>
              <w:t>3,85</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8,7</w:t>
            </w:r>
          </w:p>
        </w:tc>
        <w:tc>
          <w:tcPr>
            <w:tcW w:w="261" w:type="dxa"/>
            <w:tcBorders>
              <w:top w:val="nil"/>
              <w:left w:val="nil"/>
              <w:bottom w:val="nil"/>
              <w:right w:val="nil"/>
            </w:tcBorders>
          </w:tcPr>
          <w:p w:rsidR="00DF26C1" w:rsidRDefault="00DF26C1" w:rsidP="007B6DBD">
            <w:pPr>
              <w:pStyle w:val="TableParagraph"/>
              <w:kinsoku w:val="0"/>
              <w:overflowPunct w:val="0"/>
              <w:ind w:left="56"/>
            </w:pPr>
            <w:r>
              <w:rPr>
                <w:rFonts w:ascii="Arial" w:hAnsi="Arial" w:cs="Arial"/>
                <w:w w:val="105"/>
                <w:sz w:val="9"/>
                <w:szCs w:val="9"/>
              </w:rPr>
              <w:t>4,50</w:t>
            </w:r>
          </w:p>
        </w:tc>
        <w:tc>
          <w:tcPr>
            <w:tcW w:w="278"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3,36</w:t>
            </w:r>
          </w:p>
        </w:tc>
        <w:tc>
          <w:tcPr>
            <w:tcW w:w="237" w:type="dxa"/>
            <w:tcBorders>
              <w:top w:val="nil"/>
              <w:left w:val="nil"/>
              <w:bottom w:val="nil"/>
              <w:right w:val="nil"/>
            </w:tcBorders>
          </w:tcPr>
          <w:p w:rsidR="00DF26C1" w:rsidRDefault="00DF26C1" w:rsidP="007B6DBD">
            <w:pPr>
              <w:pStyle w:val="TableParagraph"/>
              <w:kinsoku w:val="0"/>
              <w:overflowPunct w:val="0"/>
              <w:ind w:left="26"/>
            </w:pPr>
            <w:r>
              <w:rPr>
                <w:rFonts w:ascii="Arial" w:hAnsi="Arial" w:cs="Arial"/>
                <w:w w:val="105"/>
                <w:sz w:val="9"/>
                <w:szCs w:val="9"/>
              </w:rPr>
              <w:t>4,05</w:t>
            </w:r>
          </w:p>
        </w:tc>
        <w:tc>
          <w:tcPr>
            <w:tcW w:w="296"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0,20</w:t>
            </w:r>
          </w:p>
        </w:tc>
        <w:tc>
          <w:tcPr>
            <w:tcW w:w="274" w:type="dxa"/>
            <w:tcBorders>
              <w:top w:val="nil"/>
              <w:left w:val="nil"/>
              <w:bottom w:val="nil"/>
              <w:right w:val="nil"/>
            </w:tcBorders>
          </w:tcPr>
          <w:p w:rsidR="00DF26C1" w:rsidRDefault="00DF26C1" w:rsidP="007B6DBD">
            <w:pPr>
              <w:pStyle w:val="TableParagraph"/>
              <w:kinsoku w:val="0"/>
              <w:overflowPunct w:val="0"/>
              <w:ind w:left="64"/>
            </w:pPr>
            <w:r>
              <w:rPr>
                <w:rFonts w:ascii="Arial" w:hAnsi="Arial" w:cs="Arial"/>
                <w:w w:val="105"/>
                <w:sz w:val="9"/>
                <w:szCs w:val="9"/>
              </w:rPr>
              <w:t>14,5</w:t>
            </w:r>
          </w:p>
        </w:tc>
        <w:tc>
          <w:tcPr>
            <w:tcW w:w="350"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99,17</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ind w:left="86"/>
            </w:pPr>
            <w:r>
              <w:rPr>
                <w:rFonts w:ascii="Arial" w:hAnsi="Arial" w:cs="Arial"/>
                <w:w w:val="105"/>
                <w:sz w:val="9"/>
                <w:szCs w:val="9"/>
              </w:rPr>
              <w:t>58</w:t>
            </w:r>
          </w:p>
        </w:tc>
        <w:tc>
          <w:tcPr>
            <w:tcW w:w="253" w:type="dxa"/>
            <w:tcBorders>
              <w:top w:val="nil"/>
              <w:left w:val="nil"/>
              <w:bottom w:val="nil"/>
              <w:right w:val="nil"/>
            </w:tcBorders>
          </w:tcPr>
          <w:p w:rsidR="00DF26C1" w:rsidRDefault="00DF26C1" w:rsidP="007B6DBD">
            <w:pPr>
              <w:pStyle w:val="TableParagraph"/>
              <w:kinsoku w:val="0"/>
              <w:overflowPunct w:val="0"/>
              <w:ind w:left="123"/>
            </w:pPr>
            <w:r>
              <w:rPr>
                <w:rFonts w:ascii="Arial" w:hAnsi="Arial" w:cs="Arial"/>
                <w:w w:val="105"/>
                <w:sz w:val="9"/>
                <w:szCs w:val="9"/>
              </w:rPr>
              <w:t>78</w:t>
            </w:r>
          </w:p>
        </w:tc>
        <w:tc>
          <w:tcPr>
            <w:tcW w:w="245" w:type="dxa"/>
            <w:tcBorders>
              <w:top w:val="nil"/>
              <w:left w:val="nil"/>
              <w:bottom w:val="nil"/>
              <w:right w:val="nil"/>
            </w:tcBorders>
          </w:tcPr>
          <w:p w:rsidR="00DF26C1" w:rsidRDefault="00DF26C1" w:rsidP="007B6DBD">
            <w:pPr>
              <w:pStyle w:val="TableParagraph"/>
              <w:kinsoku w:val="0"/>
              <w:overflowPunct w:val="0"/>
              <w:ind w:left="115"/>
            </w:pPr>
            <w:r>
              <w:rPr>
                <w:rFonts w:ascii="Arial" w:hAnsi="Arial" w:cs="Arial"/>
                <w:w w:val="105"/>
                <w:sz w:val="9"/>
                <w:szCs w:val="9"/>
              </w:rPr>
              <w:t>13</w:t>
            </w:r>
          </w:p>
        </w:tc>
        <w:tc>
          <w:tcPr>
            <w:tcW w:w="259" w:type="dxa"/>
            <w:tcBorders>
              <w:top w:val="nil"/>
              <w:left w:val="nil"/>
              <w:bottom w:val="nil"/>
              <w:right w:val="nil"/>
            </w:tcBorders>
          </w:tcPr>
          <w:p w:rsidR="00DF26C1" w:rsidRDefault="00DF26C1" w:rsidP="007B6DBD">
            <w:pPr>
              <w:pStyle w:val="TableParagraph"/>
              <w:kinsoku w:val="0"/>
              <w:overflowPunct w:val="0"/>
              <w:ind w:left="76"/>
            </w:pPr>
            <w:r>
              <w:rPr>
                <w:rFonts w:ascii="Arial" w:hAnsi="Arial" w:cs="Arial"/>
                <w:w w:val="105"/>
                <w:sz w:val="9"/>
                <w:szCs w:val="9"/>
              </w:rPr>
              <w:t>170</w:t>
            </w:r>
          </w:p>
        </w:tc>
        <w:tc>
          <w:tcPr>
            <w:tcW w:w="223" w:type="dxa"/>
            <w:tcBorders>
              <w:top w:val="nil"/>
              <w:left w:val="nil"/>
              <w:bottom w:val="nil"/>
              <w:right w:val="nil"/>
            </w:tcBorders>
          </w:tcPr>
          <w:p w:rsidR="00DF26C1" w:rsidRDefault="00DF26C1" w:rsidP="007B6DBD">
            <w:pPr>
              <w:pStyle w:val="TableParagraph"/>
              <w:kinsoku w:val="0"/>
              <w:overflowPunct w:val="0"/>
              <w:ind w:left="49"/>
            </w:pPr>
            <w:r>
              <w:rPr>
                <w:rFonts w:ascii="Arial" w:hAnsi="Arial" w:cs="Arial"/>
                <w:w w:val="105"/>
                <w:sz w:val="9"/>
                <w:szCs w:val="9"/>
              </w:rPr>
              <w:t>5,1</w:t>
            </w:r>
          </w:p>
        </w:tc>
        <w:tc>
          <w:tcPr>
            <w:tcW w:w="281" w:type="dxa"/>
            <w:tcBorders>
              <w:top w:val="nil"/>
              <w:left w:val="nil"/>
              <w:bottom w:val="nil"/>
              <w:right w:val="nil"/>
            </w:tcBorders>
          </w:tcPr>
          <w:p w:rsidR="00DF26C1" w:rsidRDefault="00DF26C1" w:rsidP="007B6DBD">
            <w:pPr>
              <w:pStyle w:val="TableParagraph"/>
              <w:kinsoku w:val="0"/>
              <w:overflowPunct w:val="0"/>
              <w:ind w:left="99"/>
            </w:pPr>
            <w:r>
              <w:rPr>
                <w:rFonts w:ascii="Arial" w:hAnsi="Arial" w:cs="Arial"/>
                <w:w w:val="105"/>
                <w:sz w:val="9"/>
                <w:szCs w:val="9"/>
              </w:rPr>
              <w:t>226</w:t>
            </w:r>
          </w:p>
        </w:tc>
        <w:tc>
          <w:tcPr>
            <w:tcW w:w="231" w:type="dxa"/>
            <w:tcBorders>
              <w:top w:val="nil"/>
              <w:left w:val="nil"/>
              <w:bottom w:val="nil"/>
              <w:right w:val="nil"/>
            </w:tcBorders>
          </w:tcPr>
          <w:p w:rsidR="00DF26C1" w:rsidRDefault="00DF26C1" w:rsidP="007B6DBD">
            <w:pPr>
              <w:pStyle w:val="TableParagraph"/>
              <w:kinsoku w:val="0"/>
              <w:overflowPunct w:val="0"/>
              <w:ind w:left="101"/>
            </w:pPr>
            <w:r>
              <w:rPr>
                <w:rFonts w:ascii="Arial" w:hAnsi="Arial" w:cs="Arial"/>
                <w:w w:val="105"/>
                <w:sz w:val="9"/>
                <w:szCs w:val="9"/>
              </w:rPr>
              <w:t>21</w:t>
            </w:r>
          </w:p>
        </w:tc>
        <w:tc>
          <w:tcPr>
            <w:tcW w:w="255"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42</w:t>
            </w:r>
          </w:p>
        </w:tc>
        <w:tc>
          <w:tcPr>
            <w:tcW w:w="302"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77,3</w:t>
            </w:r>
          </w:p>
        </w:tc>
        <w:tc>
          <w:tcPr>
            <w:tcW w:w="259" w:type="dxa"/>
            <w:tcBorders>
              <w:top w:val="nil"/>
              <w:left w:val="nil"/>
              <w:bottom w:val="nil"/>
              <w:right w:val="nil"/>
            </w:tcBorders>
          </w:tcPr>
          <w:p w:rsidR="00DF26C1" w:rsidRDefault="00DF26C1" w:rsidP="007B6DBD">
            <w:pPr>
              <w:pStyle w:val="TableParagraph"/>
              <w:kinsoku w:val="0"/>
              <w:overflowPunct w:val="0"/>
              <w:ind w:left="49"/>
            </w:pPr>
            <w:r>
              <w:rPr>
                <w:rFonts w:ascii="Arial" w:hAnsi="Arial" w:cs="Arial"/>
                <w:w w:val="105"/>
                <w:sz w:val="9"/>
                <w:szCs w:val="9"/>
              </w:rPr>
              <w:t>28,9</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ind w:left="69"/>
            </w:pPr>
            <w:r>
              <w:rPr>
                <w:rFonts w:ascii="Arial" w:hAnsi="Arial" w:cs="Arial"/>
                <w:w w:val="106"/>
                <w:sz w:val="9"/>
                <w:szCs w:val="9"/>
              </w:rPr>
              <w:t>5</w:t>
            </w:r>
          </w:p>
        </w:tc>
        <w:tc>
          <w:tcPr>
            <w:tcW w:w="250"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1,2</w:t>
            </w:r>
          </w:p>
        </w:tc>
        <w:tc>
          <w:tcPr>
            <w:tcW w:w="248"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3,9</w:t>
            </w:r>
          </w:p>
        </w:tc>
        <w:tc>
          <w:tcPr>
            <w:tcW w:w="232" w:type="dxa"/>
            <w:tcBorders>
              <w:top w:val="nil"/>
              <w:left w:val="nil"/>
              <w:bottom w:val="nil"/>
              <w:right w:val="nil"/>
            </w:tcBorders>
          </w:tcPr>
          <w:p w:rsidR="00DF26C1" w:rsidRDefault="00DF26C1" w:rsidP="007B6DBD">
            <w:pPr>
              <w:pStyle w:val="TableParagraph"/>
              <w:kinsoku w:val="0"/>
              <w:overflowPunct w:val="0"/>
              <w:ind w:left="75"/>
            </w:pPr>
            <w:r>
              <w:rPr>
                <w:rFonts w:ascii="Arial" w:hAnsi="Arial" w:cs="Arial"/>
                <w:w w:val="105"/>
                <w:sz w:val="9"/>
                <w:szCs w:val="9"/>
              </w:rPr>
              <w:t>2,8</w:t>
            </w:r>
          </w:p>
        </w:tc>
        <w:tc>
          <w:tcPr>
            <w:tcW w:w="264"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1,4</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ind w:left="-11"/>
            </w:pPr>
            <w:r>
              <w:rPr>
                <w:rFonts w:ascii="Arial" w:hAnsi="Arial" w:cs="Arial"/>
                <w:w w:val="105"/>
                <w:sz w:val="9"/>
                <w:szCs w:val="9"/>
              </w:rPr>
              <w:t>64</w:t>
            </w:r>
          </w:p>
        </w:tc>
        <w:tc>
          <w:tcPr>
            <w:tcW w:w="225"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22</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6"/>
        </w:trPr>
        <w:tc>
          <w:tcPr>
            <w:tcW w:w="921" w:type="dxa"/>
            <w:tcBorders>
              <w:top w:val="nil"/>
              <w:left w:val="nil"/>
              <w:bottom w:val="single" w:sz="2" w:space="0" w:color="000000"/>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Alpine Corsica</w:t>
            </w:r>
            <w:r>
              <w:rPr>
                <w:rFonts w:ascii="Arial" w:hAnsi="Arial" w:cs="Arial"/>
                <w:spacing w:val="-12"/>
                <w:w w:val="105"/>
                <w:sz w:val="9"/>
                <w:szCs w:val="9"/>
              </w:rPr>
              <w:t xml:space="preserve"> </w:t>
            </w:r>
            <w:r>
              <w:rPr>
                <w:rFonts w:ascii="Arial" w:hAnsi="Arial" w:cs="Arial"/>
                <w:w w:val="105"/>
                <w:sz w:val="9"/>
                <w:szCs w:val="9"/>
              </w:rPr>
              <w:t>Sisco</w:t>
            </w:r>
          </w:p>
        </w:tc>
        <w:tc>
          <w:tcPr>
            <w:tcW w:w="503" w:type="dxa"/>
            <w:tcBorders>
              <w:top w:val="nil"/>
              <w:left w:val="nil"/>
              <w:bottom w:val="single" w:sz="2" w:space="0" w:color="000000"/>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46</w:t>
            </w:r>
          </w:p>
        </w:tc>
        <w:tc>
          <w:tcPr>
            <w:tcW w:w="624" w:type="dxa"/>
            <w:tcBorders>
              <w:top w:val="nil"/>
              <w:left w:val="nil"/>
              <w:bottom w:val="single" w:sz="2" w:space="0" w:color="000000"/>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lamproite</w:t>
            </w:r>
          </w:p>
        </w:tc>
        <w:tc>
          <w:tcPr>
            <w:tcW w:w="559" w:type="dxa"/>
            <w:tcBorders>
              <w:top w:val="nil"/>
              <w:left w:val="nil"/>
              <w:bottom w:val="single" w:sz="2" w:space="0" w:color="000000"/>
              <w:right w:val="nil"/>
            </w:tcBorders>
          </w:tcPr>
          <w:p w:rsidR="00DF26C1" w:rsidRDefault="00DF26C1" w:rsidP="007B6DBD">
            <w:pPr>
              <w:pStyle w:val="TableParagraph"/>
              <w:kinsoku w:val="0"/>
              <w:overflowPunct w:val="0"/>
              <w:spacing w:before="4"/>
              <w:ind w:left="15"/>
              <w:jc w:val="center"/>
            </w:pPr>
            <w:r>
              <w:rPr>
                <w:rFonts w:ascii="Arial" w:hAnsi="Arial" w:cs="Arial"/>
                <w:spacing w:val="-3"/>
                <w:w w:val="105"/>
                <w:sz w:val="9"/>
                <w:szCs w:val="9"/>
              </w:rPr>
              <w:t>sill</w:t>
            </w:r>
          </w:p>
        </w:tc>
        <w:tc>
          <w:tcPr>
            <w:tcW w:w="503" w:type="dxa"/>
            <w:tcBorders>
              <w:top w:val="nil"/>
              <w:left w:val="nil"/>
              <w:bottom w:val="single" w:sz="2" w:space="0" w:color="000000"/>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lamproite</w:t>
            </w:r>
          </w:p>
        </w:tc>
        <w:tc>
          <w:tcPr>
            <w:tcW w:w="611" w:type="dxa"/>
            <w:tcBorders>
              <w:top w:val="nil"/>
              <w:left w:val="nil"/>
              <w:bottom w:val="single" w:sz="2" w:space="0" w:color="000000"/>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sis04</w:t>
            </w:r>
          </w:p>
        </w:tc>
        <w:tc>
          <w:tcPr>
            <w:tcW w:w="437" w:type="dxa"/>
            <w:tcBorders>
              <w:top w:val="nil"/>
              <w:left w:val="nil"/>
              <w:bottom w:val="single" w:sz="2" w:space="0" w:color="000000"/>
              <w:right w:val="nil"/>
            </w:tcBorders>
          </w:tcPr>
          <w:p w:rsidR="00DF26C1" w:rsidRDefault="00DF26C1" w:rsidP="007B6DBD">
            <w:pPr>
              <w:pStyle w:val="TableParagraph"/>
              <w:kinsoku w:val="0"/>
              <w:overflowPunct w:val="0"/>
              <w:spacing w:before="4"/>
              <w:ind w:left="165"/>
            </w:pPr>
            <w:r>
              <w:rPr>
                <w:rFonts w:ascii="Arial" w:hAnsi="Arial" w:cs="Arial"/>
                <w:w w:val="105"/>
                <w:sz w:val="9"/>
                <w:szCs w:val="9"/>
              </w:rPr>
              <w:t>Bu/La</w:t>
            </w:r>
          </w:p>
        </w:tc>
        <w:tc>
          <w:tcPr>
            <w:tcW w:w="320" w:type="dxa"/>
            <w:tcBorders>
              <w:top w:val="nil"/>
              <w:left w:val="nil"/>
              <w:bottom w:val="single" w:sz="2" w:space="0" w:color="000000"/>
              <w:right w:val="nil"/>
            </w:tcBorders>
          </w:tcPr>
          <w:p w:rsidR="00DF26C1" w:rsidRDefault="00DF26C1" w:rsidP="007B6DBD">
            <w:pPr>
              <w:pStyle w:val="TableParagraph"/>
              <w:kinsoku w:val="0"/>
              <w:overflowPunct w:val="0"/>
              <w:spacing w:before="4"/>
              <w:ind w:left="33"/>
            </w:pPr>
            <w:r>
              <w:rPr>
                <w:rFonts w:ascii="Arial" w:hAnsi="Arial" w:cs="Arial"/>
                <w:w w:val="105"/>
                <w:sz w:val="9"/>
                <w:szCs w:val="9"/>
              </w:rPr>
              <w:t>19, 20</w:t>
            </w:r>
          </w:p>
        </w:tc>
        <w:tc>
          <w:tcPr>
            <w:tcW w:w="262" w:type="dxa"/>
            <w:tcBorders>
              <w:top w:val="nil"/>
              <w:left w:val="nil"/>
              <w:bottom w:val="single" w:sz="2" w:space="0" w:color="000000"/>
              <w:right w:val="nil"/>
            </w:tcBorders>
          </w:tcPr>
          <w:p w:rsidR="00DF26C1" w:rsidRDefault="00DF26C1" w:rsidP="007B6DBD"/>
        </w:tc>
        <w:tc>
          <w:tcPr>
            <w:tcW w:w="294" w:type="dxa"/>
            <w:tcBorders>
              <w:top w:val="nil"/>
              <w:left w:val="nil"/>
              <w:bottom w:val="single" w:sz="2" w:space="0" w:color="000000"/>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58,5</w:t>
            </w:r>
          </w:p>
        </w:tc>
        <w:tc>
          <w:tcPr>
            <w:tcW w:w="293" w:type="dxa"/>
            <w:tcBorders>
              <w:top w:val="nil"/>
              <w:left w:val="nil"/>
              <w:bottom w:val="single" w:sz="2" w:space="0" w:color="000000"/>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2,27</w:t>
            </w:r>
          </w:p>
        </w:tc>
        <w:tc>
          <w:tcPr>
            <w:tcW w:w="308" w:type="dxa"/>
            <w:tcBorders>
              <w:top w:val="nil"/>
              <w:left w:val="nil"/>
              <w:bottom w:val="single" w:sz="2" w:space="0" w:color="000000"/>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10,8</w:t>
            </w:r>
          </w:p>
        </w:tc>
        <w:tc>
          <w:tcPr>
            <w:tcW w:w="353" w:type="dxa"/>
            <w:tcBorders>
              <w:top w:val="nil"/>
              <w:left w:val="nil"/>
              <w:bottom w:val="single" w:sz="2" w:space="0" w:color="000000"/>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0,81</w:t>
            </w:r>
          </w:p>
        </w:tc>
        <w:tc>
          <w:tcPr>
            <w:tcW w:w="234" w:type="dxa"/>
            <w:tcBorders>
              <w:top w:val="nil"/>
              <w:left w:val="nil"/>
              <w:bottom w:val="single" w:sz="2" w:space="0" w:color="000000"/>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2,4</w:t>
            </w:r>
          </w:p>
        </w:tc>
        <w:tc>
          <w:tcPr>
            <w:tcW w:w="224" w:type="dxa"/>
            <w:tcBorders>
              <w:top w:val="nil"/>
              <w:left w:val="nil"/>
              <w:bottom w:val="single" w:sz="2" w:space="0" w:color="000000"/>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w:t>
            </w:r>
          </w:p>
        </w:tc>
        <w:tc>
          <w:tcPr>
            <w:tcW w:w="269" w:type="dxa"/>
            <w:tcBorders>
              <w:top w:val="nil"/>
              <w:left w:val="nil"/>
              <w:bottom w:val="single" w:sz="2" w:space="0" w:color="000000"/>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6,6</w:t>
            </w:r>
          </w:p>
        </w:tc>
        <w:tc>
          <w:tcPr>
            <w:tcW w:w="261" w:type="dxa"/>
            <w:tcBorders>
              <w:top w:val="nil"/>
              <w:left w:val="nil"/>
              <w:bottom w:val="single" w:sz="2" w:space="0" w:color="000000"/>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3,12</w:t>
            </w:r>
          </w:p>
        </w:tc>
        <w:tc>
          <w:tcPr>
            <w:tcW w:w="278" w:type="dxa"/>
            <w:tcBorders>
              <w:top w:val="nil"/>
              <w:left w:val="nil"/>
              <w:bottom w:val="single" w:sz="2" w:space="0" w:color="000000"/>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1,02</w:t>
            </w:r>
          </w:p>
        </w:tc>
        <w:tc>
          <w:tcPr>
            <w:tcW w:w="237" w:type="dxa"/>
            <w:tcBorders>
              <w:top w:val="nil"/>
              <w:left w:val="nil"/>
              <w:bottom w:val="single" w:sz="2" w:space="0" w:color="000000"/>
              <w:right w:val="nil"/>
            </w:tcBorders>
          </w:tcPr>
          <w:p w:rsidR="00DF26C1" w:rsidRDefault="00DF26C1" w:rsidP="007B6DBD">
            <w:pPr>
              <w:pStyle w:val="TableParagraph"/>
              <w:kinsoku w:val="0"/>
              <w:overflowPunct w:val="0"/>
              <w:spacing w:before="4"/>
              <w:ind w:left="105"/>
            </w:pPr>
            <w:r>
              <w:rPr>
                <w:rFonts w:ascii="Arial" w:hAnsi="Arial" w:cs="Arial"/>
                <w:w w:val="105"/>
                <w:sz w:val="9"/>
                <w:szCs w:val="9"/>
              </w:rPr>
              <w:t>11</w:t>
            </w:r>
          </w:p>
        </w:tc>
        <w:tc>
          <w:tcPr>
            <w:tcW w:w="296" w:type="dxa"/>
            <w:tcBorders>
              <w:top w:val="nil"/>
              <w:left w:val="nil"/>
              <w:bottom w:val="single" w:sz="2" w:space="0" w:color="000000"/>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0,67</w:t>
            </w:r>
          </w:p>
        </w:tc>
        <w:tc>
          <w:tcPr>
            <w:tcW w:w="274" w:type="dxa"/>
            <w:tcBorders>
              <w:top w:val="nil"/>
              <w:left w:val="nil"/>
              <w:bottom w:val="single" w:sz="2" w:space="0" w:color="000000"/>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2,09</w:t>
            </w:r>
          </w:p>
        </w:tc>
        <w:tc>
          <w:tcPr>
            <w:tcW w:w="350" w:type="dxa"/>
            <w:tcBorders>
              <w:top w:val="nil"/>
              <w:left w:val="nil"/>
              <w:bottom w:val="single" w:sz="2" w:space="0" w:color="000000"/>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99,09</w:t>
            </w:r>
          </w:p>
        </w:tc>
        <w:tc>
          <w:tcPr>
            <w:tcW w:w="259" w:type="dxa"/>
            <w:tcBorders>
              <w:top w:val="nil"/>
              <w:left w:val="nil"/>
              <w:bottom w:val="single" w:sz="2" w:space="0" w:color="000000"/>
              <w:right w:val="nil"/>
            </w:tcBorders>
          </w:tcPr>
          <w:p w:rsidR="00DF26C1" w:rsidRDefault="00DF26C1" w:rsidP="007B6DBD"/>
        </w:tc>
        <w:tc>
          <w:tcPr>
            <w:tcW w:w="270" w:type="dxa"/>
            <w:tcBorders>
              <w:top w:val="nil"/>
              <w:left w:val="nil"/>
              <w:bottom w:val="single" w:sz="2" w:space="0" w:color="000000"/>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380</w:t>
            </w:r>
          </w:p>
        </w:tc>
        <w:tc>
          <w:tcPr>
            <w:tcW w:w="253" w:type="dxa"/>
            <w:tcBorders>
              <w:top w:val="nil"/>
              <w:left w:val="nil"/>
              <w:bottom w:val="single" w:sz="2" w:space="0" w:color="000000"/>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803</w:t>
            </w:r>
          </w:p>
        </w:tc>
        <w:tc>
          <w:tcPr>
            <w:tcW w:w="245" w:type="dxa"/>
            <w:tcBorders>
              <w:top w:val="nil"/>
              <w:left w:val="nil"/>
              <w:bottom w:val="single" w:sz="2" w:space="0" w:color="000000"/>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27</w:t>
            </w:r>
          </w:p>
        </w:tc>
        <w:tc>
          <w:tcPr>
            <w:tcW w:w="259" w:type="dxa"/>
            <w:tcBorders>
              <w:top w:val="nil"/>
              <w:left w:val="nil"/>
              <w:bottom w:val="single" w:sz="2" w:space="0" w:color="000000"/>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1309</w:t>
            </w:r>
          </w:p>
        </w:tc>
        <w:tc>
          <w:tcPr>
            <w:tcW w:w="223" w:type="dxa"/>
            <w:tcBorders>
              <w:top w:val="nil"/>
              <w:left w:val="nil"/>
              <w:bottom w:val="single" w:sz="2" w:space="0" w:color="000000"/>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63</w:t>
            </w:r>
          </w:p>
        </w:tc>
        <w:tc>
          <w:tcPr>
            <w:tcW w:w="281" w:type="dxa"/>
            <w:tcBorders>
              <w:top w:val="nil"/>
              <w:left w:val="nil"/>
              <w:bottom w:val="single" w:sz="2" w:space="0" w:color="000000"/>
              <w:right w:val="nil"/>
            </w:tcBorders>
          </w:tcPr>
          <w:p w:rsidR="00DF26C1" w:rsidRDefault="00DF26C1" w:rsidP="007B6DBD">
            <w:pPr>
              <w:pStyle w:val="TableParagraph"/>
              <w:kinsoku w:val="0"/>
              <w:overflowPunct w:val="0"/>
              <w:spacing w:before="4"/>
              <w:ind w:left="46"/>
            </w:pPr>
            <w:r>
              <w:rPr>
                <w:rFonts w:ascii="Arial" w:hAnsi="Arial" w:cs="Arial"/>
                <w:w w:val="105"/>
                <w:sz w:val="9"/>
                <w:szCs w:val="9"/>
              </w:rPr>
              <w:t>1310</w:t>
            </w:r>
          </w:p>
        </w:tc>
        <w:tc>
          <w:tcPr>
            <w:tcW w:w="231" w:type="dxa"/>
            <w:tcBorders>
              <w:top w:val="nil"/>
              <w:left w:val="nil"/>
              <w:bottom w:val="single" w:sz="2" w:space="0" w:color="000000"/>
              <w:right w:val="nil"/>
            </w:tcBorders>
          </w:tcPr>
          <w:p w:rsidR="00DF26C1" w:rsidRDefault="00DF26C1" w:rsidP="007B6DBD"/>
        </w:tc>
        <w:tc>
          <w:tcPr>
            <w:tcW w:w="255" w:type="dxa"/>
            <w:tcBorders>
              <w:top w:val="nil"/>
              <w:left w:val="nil"/>
              <w:bottom w:val="single" w:sz="2" w:space="0" w:color="000000"/>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172</w:t>
            </w:r>
          </w:p>
        </w:tc>
        <w:tc>
          <w:tcPr>
            <w:tcW w:w="302" w:type="dxa"/>
            <w:tcBorders>
              <w:top w:val="nil"/>
              <w:left w:val="nil"/>
              <w:bottom w:val="single" w:sz="2" w:space="0" w:color="000000"/>
              <w:right w:val="nil"/>
            </w:tcBorders>
          </w:tcPr>
          <w:p w:rsidR="00DF26C1" w:rsidRDefault="00DF26C1" w:rsidP="007B6DBD">
            <w:pPr>
              <w:pStyle w:val="TableParagraph"/>
              <w:kinsoku w:val="0"/>
              <w:overflowPunct w:val="0"/>
              <w:spacing w:before="4"/>
              <w:ind w:left="119"/>
            </w:pPr>
            <w:r>
              <w:rPr>
                <w:rFonts w:ascii="Arial" w:hAnsi="Arial" w:cs="Arial"/>
                <w:w w:val="105"/>
                <w:sz w:val="9"/>
                <w:szCs w:val="9"/>
              </w:rPr>
              <w:t>347</w:t>
            </w:r>
          </w:p>
        </w:tc>
        <w:tc>
          <w:tcPr>
            <w:tcW w:w="259" w:type="dxa"/>
            <w:tcBorders>
              <w:top w:val="nil"/>
              <w:left w:val="nil"/>
              <w:bottom w:val="single" w:sz="2" w:space="0" w:color="000000"/>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139</w:t>
            </w:r>
          </w:p>
        </w:tc>
        <w:tc>
          <w:tcPr>
            <w:tcW w:w="147" w:type="dxa"/>
            <w:tcBorders>
              <w:top w:val="nil"/>
              <w:left w:val="nil"/>
              <w:bottom w:val="single" w:sz="2" w:space="0" w:color="000000"/>
              <w:right w:val="nil"/>
            </w:tcBorders>
          </w:tcPr>
          <w:p w:rsidR="00DF26C1" w:rsidRDefault="00DF26C1" w:rsidP="007B6DBD"/>
        </w:tc>
        <w:tc>
          <w:tcPr>
            <w:tcW w:w="146" w:type="dxa"/>
            <w:tcBorders>
              <w:top w:val="nil"/>
              <w:left w:val="nil"/>
              <w:bottom w:val="single" w:sz="2" w:space="0" w:color="000000"/>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19</w:t>
            </w:r>
          </w:p>
        </w:tc>
        <w:tc>
          <w:tcPr>
            <w:tcW w:w="250" w:type="dxa"/>
            <w:tcBorders>
              <w:top w:val="nil"/>
              <w:left w:val="nil"/>
              <w:bottom w:val="single" w:sz="2" w:space="0" w:color="000000"/>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3,2</w:t>
            </w:r>
          </w:p>
        </w:tc>
        <w:tc>
          <w:tcPr>
            <w:tcW w:w="248" w:type="dxa"/>
            <w:tcBorders>
              <w:top w:val="nil"/>
              <w:left w:val="nil"/>
              <w:bottom w:val="single" w:sz="2" w:space="0" w:color="000000"/>
              <w:right w:val="nil"/>
            </w:tcBorders>
          </w:tcPr>
          <w:p w:rsidR="00DF26C1" w:rsidRDefault="00DF26C1" w:rsidP="007B6DBD"/>
        </w:tc>
        <w:tc>
          <w:tcPr>
            <w:tcW w:w="232" w:type="dxa"/>
            <w:tcBorders>
              <w:top w:val="nil"/>
              <w:left w:val="nil"/>
              <w:bottom w:val="single" w:sz="2" w:space="0" w:color="000000"/>
              <w:right w:val="nil"/>
            </w:tcBorders>
          </w:tcPr>
          <w:p w:rsidR="00DF26C1" w:rsidRDefault="00DF26C1" w:rsidP="007B6DBD"/>
        </w:tc>
        <w:tc>
          <w:tcPr>
            <w:tcW w:w="264" w:type="dxa"/>
            <w:tcBorders>
              <w:top w:val="nil"/>
              <w:left w:val="nil"/>
              <w:bottom w:val="single" w:sz="2" w:space="0" w:color="000000"/>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1,1</w:t>
            </w:r>
          </w:p>
        </w:tc>
        <w:tc>
          <w:tcPr>
            <w:tcW w:w="225" w:type="dxa"/>
            <w:gridSpan w:val="2"/>
            <w:tcBorders>
              <w:top w:val="nil"/>
              <w:left w:val="nil"/>
              <w:bottom w:val="single" w:sz="2" w:space="0" w:color="000000"/>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264</w:t>
            </w:r>
          </w:p>
        </w:tc>
        <w:tc>
          <w:tcPr>
            <w:tcW w:w="225" w:type="dxa"/>
            <w:tcBorders>
              <w:top w:val="nil"/>
              <w:left w:val="nil"/>
              <w:bottom w:val="single" w:sz="2" w:space="0" w:color="000000"/>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420</w:t>
            </w:r>
          </w:p>
        </w:tc>
        <w:tc>
          <w:tcPr>
            <w:tcW w:w="625" w:type="dxa"/>
            <w:tcBorders>
              <w:top w:val="nil"/>
              <w:left w:val="nil"/>
              <w:bottom w:val="single" w:sz="2" w:space="0" w:color="000000"/>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0,712560</w:t>
            </w:r>
          </w:p>
        </w:tc>
        <w:tc>
          <w:tcPr>
            <w:tcW w:w="573" w:type="dxa"/>
            <w:tcBorders>
              <w:top w:val="nil"/>
              <w:left w:val="nil"/>
              <w:bottom w:val="single" w:sz="2" w:space="0" w:color="000000"/>
              <w:right w:val="nil"/>
            </w:tcBorders>
          </w:tcPr>
          <w:p w:rsidR="00DF26C1" w:rsidRDefault="00DF26C1" w:rsidP="007B6DBD">
            <w:pPr>
              <w:pStyle w:val="TableParagraph"/>
              <w:kinsoku w:val="0"/>
              <w:overflowPunct w:val="0"/>
              <w:spacing w:before="4"/>
              <w:ind w:left="160"/>
            </w:pPr>
            <w:r>
              <w:rPr>
                <w:rFonts w:ascii="Arial" w:hAnsi="Arial" w:cs="Arial"/>
                <w:w w:val="105"/>
                <w:sz w:val="9"/>
                <w:szCs w:val="9"/>
              </w:rPr>
              <w:t>0,712280</w:t>
            </w:r>
          </w:p>
        </w:tc>
        <w:tc>
          <w:tcPr>
            <w:tcW w:w="607" w:type="dxa"/>
            <w:tcBorders>
              <w:top w:val="nil"/>
              <w:left w:val="nil"/>
              <w:bottom w:val="single" w:sz="2" w:space="0" w:color="000000"/>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0,512160</w:t>
            </w:r>
          </w:p>
        </w:tc>
        <w:tc>
          <w:tcPr>
            <w:tcW w:w="359" w:type="dxa"/>
            <w:tcBorders>
              <w:top w:val="nil"/>
              <w:left w:val="nil"/>
              <w:bottom w:val="single" w:sz="2" w:space="0" w:color="000000"/>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18,841</w:t>
            </w:r>
          </w:p>
        </w:tc>
        <w:tc>
          <w:tcPr>
            <w:tcW w:w="358" w:type="dxa"/>
            <w:tcBorders>
              <w:top w:val="nil"/>
              <w:left w:val="nil"/>
              <w:bottom w:val="single" w:sz="2" w:space="0" w:color="000000"/>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15,695</w:t>
            </w:r>
          </w:p>
        </w:tc>
        <w:tc>
          <w:tcPr>
            <w:tcW w:w="347" w:type="dxa"/>
            <w:tcBorders>
              <w:top w:val="nil"/>
              <w:left w:val="nil"/>
              <w:bottom w:val="single" w:sz="2" w:space="0" w:color="000000"/>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39,330</w:t>
            </w:r>
          </w:p>
        </w:tc>
      </w:tr>
      <w:tr w:rsidR="00DF26C1" w:rsidRPr="00A80FF6" w:rsidTr="007B6DBD">
        <w:trPr>
          <w:trHeight w:hRule="exact" w:val="130"/>
        </w:trPr>
        <w:tc>
          <w:tcPr>
            <w:tcW w:w="15854" w:type="dxa"/>
            <w:gridSpan w:val="48"/>
            <w:tcBorders>
              <w:top w:val="single" w:sz="2" w:space="0" w:color="000000"/>
              <w:left w:val="nil"/>
              <w:bottom w:val="nil"/>
              <w:right w:val="nil"/>
            </w:tcBorders>
          </w:tcPr>
          <w:p w:rsidR="00DF26C1" w:rsidRPr="00A80FF6" w:rsidRDefault="00DF26C1" w:rsidP="007B6DBD">
            <w:pPr>
              <w:pStyle w:val="TableParagraph"/>
              <w:kinsoku w:val="0"/>
              <w:overflowPunct w:val="0"/>
              <w:spacing w:before="9"/>
              <w:ind w:left="23"/>
              <w:rPr>
                <w:lang w:val="en-GB"/>
              </w:rPr>
            </w:pPr>
            <w:r w:rsidRPr="00A80FF6">
              <w:rPr>
                <w:rFonts w:ascii="Arial" w:hAnsi="Arial" w:cs="Arial"/>
                <w:b/>
                <w:bCs/>
                <w:w w:val="105"/>
                <w:sz w:val="9"/>
                <w:szCs w:val="9"/>
                <w:lang w:val="en-GB"/>
              </w:rPr>
              <w:t>Alboran-Betic segment of</w:t>
            </w:r>
            <w:r w:rsidRPr="00A80FF6">
              <w:rPr>
                <w:rFonts w:ascii="Arial" w:hAnsi="Arial" w:cs="Arial"/>
                <w:b/>
                <w:bCs/>
                <w:spacing w:val="-17"/>
                <w:w w:val="105"/>
                <w:sz w:val="9"/>
                <w:szCs w:val="9"/>
                <w:lang w:val="en-GB"/>
              </w:rPr>
              <w:t xml:space="preserve"> </w:t>
            </w:r>
            <w:r w:rsidRPr="00A80FF6">
              <w:rPr>
                <w:rFonts w:ascii="Arial" w:hAnsi="Arial" w:cs="Arial"/>
                <w:b/>
                <w:bCs/>
                <w:w w:val="105"/>
                <w:sz w:val="9"/>
                <w:szCs w:val="9"/>
                <w:lang w:val="en-GB"/>
              </w:rPr>
              <w:t>OAA</w:t>
            </w:r>
          </w:p>
        </w:tc>
      </w:tr>
      <w:tr w:rsidR="00DF26C1" w:rsidTr="007B6DBD">
        <w:trPr>
          <w:trHeight w:hRule="exact" w:val="118"/>
        </w:trPr>
        <w:tc>
          <w:tcPr>
            <w:tcW w:w="15854" w:type="dxa"/>
            <w:gridSpan w:val="48"/>
            <w:tcBorders>
              <w:top w:val="nil"/>
              <w:left w:val="nil"/>
              <w:bottom w:val="nil"/>
              <w:right w:val="nil"/>
            </w:tcBorders>
          </w:tcPr>
          <w:p w:rsidR="00DF26C1" w:rsidRDefault="00DF26C1" w:rsidP="007B6DBD">
            <w:pPr>
              <w:pStyle w:val="TableParagraph"/>
              <w:kinsoku w:val="0"/>
              <w:overflowPunct w:val="0"/>
              <w:spacing w:before="7"/>
              <w:ind w:left="23"/>
            </w:pPr>
            <w:r>
              <w:rPr>
                <w:rFonts w:ascii="Arial" w:hAnsi="Arial" w:cs="Arial"/>
                <w:w w:val="105"/>
                <w:sz w:val="9"/>
                <w:szCs w:val="9"/>
                <w:u w:val="single"/>
              </w:rPr>
              <w:t>Alboran</w:t>
            </w:r>
            <w:r>
              <w:rPr>
                <w:rFonts w:ascii="Arial" w:hAnsi="Arial" w:cs="Arial"/>
                <w:spacing w:val="-9"/>
                <w:w w:val="105"/>
                <w:sz w:val="9"/>
                <w:szCs w:val="9"/>
                <w:u w:val="single"/>
              </w:rPr>
              <w:t xml:space="preserve"> </w:t>
            </w:r>
            <w:r>
              <w:rPr>
                <w:rFonts w:ascii="Arial" w:hAnsi="Arial" w:cs="Arial"/>
                <w:w w:val="105"/>
                <w:sz w:val="9"/>
                <w:szCs w:val="9"/>
                <w:u w:val="single"/>
              </w:rPr>
              <w:t>region</w:t>
            </w:r>
          </w:p>
        </w:tc>
      </w:tr>
      <w:tr w:rsidR="00DF26C1" w:rsidTr="007B6DBD">
        <w:trPr>
          <w:trHeight w:hRule="exact" w:val="114"/>
        </w:trPr>
        <w:tc>
          <w:tcPr>
            <w:tcW w:w="921" w:type="dxa"/>
            <w:tcBorders>
              <w:top w:val="nil"/>
              <w:left w:val="nil"/>
              <w:bottom w:val="nil"/>
              <w:right w:val="nil"/>
            </w:tcBorders>
          </w:tcPr>
          <w:p w:rsidR="00DF26C1" w:rsidRDefault="00DF26C1" w:rsidP="007B6DBD">
            <w:pPr>
              <w:pStyle w:val="TableParagraph"/>
              <w:kinsoku w:val="0"/>
              <w:overflowPunct w:val="0"/>
              <w:ind w:left="23"/>
            </w:pPr>
            <w:r>
              <w:rPr>
                <w:rFonts w:ascii="Arial" w:hAnsi="Arial" w:cs="Arial"/>
                <w:w w:val="105"/>
                <w:sz w:val="9"/>
                <w:szCs w:val="9"/>
              </w:rPr>
              <w:t>ODP site</w:t>
            </w:r>
            <w:r>
              <w:rPr>
                <w:rFonts w:ascii="Arial" w:hAnsi="Arial" w:cs="Arial"/>
                <w:spacing w:val="-2"/>
                <w:w w:val="105"/>
                <w:sz w:val="9"/>
                <w:szCs w:val="9"/>
              </w:rPr>
              <w:t xml:space="preserve"> </w:t>
            </w:r>
            <w:r>
              <w:rPr>
                <w:rFonts w:ascii="Arial" w:hAnsi="Arial" w:cs="Arial"/>
                <w:w w:val="105"/>
                <w:sz w:val="9"/>
                <w:szCs w:val="9"/>
              </w:rPr>
              <w:t>977</w:t>
            </w:r>
          </w:p>
        </w:tc>
        <w:tc>
          <w:tcPr>
            <w:tcW w:w="503" w:type="dxa"/>
            <w:tcBorders>
              <w:top w:val="nil"/>
              <w:left w:val="nil"/>
              <w:bottom w:val="nil"/>
              <w:right w:val="nil"/>
            </w:tcBorders>
          </w:tcPr>
          <w:p w:rsidR="00DF26C1" w:rsidRDefault="00DF26C1" w:rsidP="007B6DBD">
            <w:pPr>
              <w:pStyle w:val="TableParagraph"/>
              <w:kinsoku w:val="0"/>
              <w:overflowPunct w:val="0"/>
              <w:ind w:left="17"/>
              <w:jc w:val="center"/>
            </w:pPr>
            <w:r>
              <w:rPr>
                <w:rFonts w:ascii="Arial" w:hAnsi="Arial" w:cs="Arial"/>
                <w:w w:val="105"/>
                <w:sz w:val="9"/>
                <w:szCs w:val="9"/>
              </w:rPr>
              <w:t>15</w:t>
            </w:r>
          </w:p>
        </w:tc>
        <w:tc>
          <w:tcPr>
            <w:tcW w:w="624" w:type="dxa"/>
            <w:tcBorders>
              <w:top w:val="nil"/>
              <w:left w:val="nil"/>
              <w:bottom w:val="nil"/>
              <w:right w:val="nil"/>
            </w:tcBorders>
          </w:tcPr>
          <w:p w:rsidR="00DF26C1" w:rsidRDefault="00DF26C1" w:rsidP="007B6DBD">
            <w:pPr>
              <w:pStyle w:val="TableParagraph"/>
              <w:kinsoku w:val="0"/>
              <w:overflowPunct w:val="0"/>
              <w:ind w:left="16"/>
            </w:pPr>
            <w:r>
              <w:rPr>
                <w:rFonts w:ascii="Arial" w:hAnsi="Arial" w:cs="Arial"/>
                <w:w w:val="105"/>
                <w:sz w:val="9"/>
                <w:szCs w:val="9"/>
              </w:rPr>
              <w:t>granite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ind w:left="6"/>
            </w:pPr>
            <w:r>
              <w:rPr>
                <w:rFonts w:ascii="Arial" w:hAnsi="Arial" w:cs="Arial"/>
                <w:w w:val="105"/>
                <w:sz w:val="9"/>
                <w:szCs w:val="9"/>
              </w:rPr>
              <w:t>7646</w:t>
            </w:r>
          </w:p>
        </w:tc>
        <w:tc>
          <w:tcPr>
            <w:tcW w:w="437" w:type="dxa"/>
            <w:tcBorders>
              <w:top w:val="nil"/>
              <w:left w:val="nil"/>
              <w:bottom w:val="nil"/>
              <w:right w:val="nil"/>
            </w:tcBorders>
          </w:tcPr>
          <w:p w:rsidR="00DF26C1" w:rsidRDefault="00DF26C1" w:rsidP="007B6DBD">
            <w:pPr>
              <w:pStyle w:val="TableParagraph"/>
              <w:kinsoku w:val="0"/>
              <w:overflowPunct w:val="0"/>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ind w:left="33"/>
            </w:pPr>
            <w:r>
              <w:rPr>
                <w:rFonts w:ascii="Arial" w:hAnsi="Arial" w:cs="Arial"/>
                <w:w w:val="105"/>
                <w:sz w:val="9"/>
                <w:szCs w:val="9"/>
              </w:rPr>
              <w:t>24; 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ind w:left="84"/>
            </w:pPr>
            <w:r>
              <w:rPr>
                <w:rFonts w:ascii="Arial" w:hAnsi="Arial" w:cs="Arial"/>
                <w:w w:val="105"/>
                <w:sz w:val="9"/>
                <w:szCs w:val="9"/>
              </w:rPr>
              <w:t>70,5</w:t>
            </w:r>
          </w:p>
        </w:tc>
        <w:tc>
          <w:tcPr>
            <w:tcW w:w="293"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0,24</w:t>
            </w:r>
          </w:p>
        </w:tc>
        <w:tc>
          <w:tcPr>
            <w:tcW w:w="308" w:type="dxa"/>
            <w:tcBorders>
              <w:top w:val="nil"/>
              <w:left w:val="nil"/>
              <w:bottom w:val="nil"/>
              <w:right w:val="nil"/>
            </w:tcBorders>
          </w:tcPr>
          <w:p w:rsidR="00DF26C1" w:rsidRDefault="00DF26C1" w:rsidP="007B6DBD">
            <w:pPr>
              <w:pStyle w:val="TableParagraph"/>
              <w:kinsoku w:val="0"/>
              <w:overflowPunct w:val="0"/>
              <w:ind w:left="57"/>
            </w:pPr>
            <w:r>
              <w:rPr>
                <w:rFonts w:ascii="Arial" w:hAnsi="Arial" w:cs="Arial"/>
                <w:w w:val="105"/>
                <w:sz w:val="9"/>
                <w:szCs w:val="9"/>
              </w:rPr>
              <w:t>15,13</w:t>
            </w:r>
          </w:p>
        </w:tc>
        <w:tc>
          <w:tcPr>
            <w:tcW w:w="353" w:type="dxa"/>
            <w:tcBorders>
              <w:top w:val="nil"/>
              <w:left w:val="nil"/>
              <w:bottom w:val="nil"/>
              <w:right w:val="nil"/>
            </w:tcBorders>
          </w:tcPr>
          <w:p w:rsidR="00DF26C1" w:rsidRDefault="00DF26C1" w:rsidP="007B6DBD">
            <w:pPr>
              <w:pStyle w:val="TableParagraph"/>
              <w:kinsoku w:val="0"/>
              <w:overflowPunct w:val="0"/>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2.25</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ind w:left="28"/>
            </w:pPr>
            <w:r>
              <w:rPr>
                <w:rFonts w:ascii="Arial" w:hAnsi="Arial" w:cs="Arial"/>
                <w:w w:val="105"/>
                <w:sz w:val="9"/>
                <w:szCs w:val="9"/>
              </w:rPr>
              <w:t>0,04</w:t>
            </w:r>
          </w:p>
        </w:tc>
        <w:tc>
          <w:tcPr>
            <w:tcW w:w="269"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1,44</w:t>
            </w:r>
          </w:p>
        </w:tc>
        <w:tc>
          <w:tcPr>
            <w:tcW w:w="261" w:type="dxa"/>
            <w:tcBorders>
              <w:top w:val="nil"/>
              <w:left w:val="nil"/>
              <w:bottom w:val="nil"/>
              <w:right w:val="nil"/>
            </w:tcBorders>
          </w:tcPr>
          <w:p w:rsidR="00DF26C1" w:rsidRDefault="00DF26C1" w:rsidP="007B6DBD">
            <w:pPr>
              <w:pStyle w:val="TableParagraph"/>
              <w:kinsoku w:val="0"/>
              <w:overflowPunct w:val="0"/>
              <w:ind w:left="56"/>
            </w:pPr>
            <w:r>
              <w:rPr>
                <w:rFonts w:ascii="Arial" w:hAnsi="Arial" w:cs="Arial"/>
                <w:w w:val="105"/>
                <w:sz w:val="9"/>
                <w:szCs w:val="9"/>
              </w:rPr>
              <w:t>2,77</w:t>
            </w:r>
          </w:p>
        </w:tc>
        <w:tc>
          <w:tcPr>
            <w:tcW w:w="278"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2,48</w:t>
            </w:r>
          </w:p>
        </w:tc>
        <w:tc>
          <w:tcPr>
            <w:tcW w:w="237" w:type="dxa"/>
            <w:tcBorders>
              <w:top w:val="nil"/>
              <w:left w:val="nil"/>
              <w:bottom w:val="nil"/>
              <w:right w:val="nil"/>
            </w:tcBorders>
          </w:tcPr>
          <w:p w:rsidR="00DF26C1" w:rsidRDefault="00DF26C1" w:rsidP="007B6DBD">
            <w:pPr>
              <w:pStyle w:val="TableParagraph"/>
              <w:kinsoku w:val="0"/>
              <w:overflowPunct w:val="0"/>
              <w:ind w:left="26"/>
            </w:pPr>
            <w:r>
              <w:rPr>
                <w:rFonts w:ascii="Arial" w:hAnsi="Arial" w:cs="Arial"/>
                <w:w w:val="105"/>
                <w:sz w:val="9"/>
                <w:szCs w:val="9"/>
              </w:rPr>
              <w:t>3,86</w:t>
            </w:r>
          </w:p>
        </w:tc>
        <w:tc>
          <w:tcPr>
            <w:tcW w:w="296"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0,08</w:t>
            </w:r>
          </w:p>
        </w:tc>
        <w:tc>
          <w:tcPr>
            <w:tcW w:w="274" w:type="dxa"/>
            <w:tcBorders>
              <w:top w:val="nil"/>
              <w:left w:val="nil"/>
              <w:bottom w:val="nil"/>
              <w:right w:val="nil"/>
            </w:tcBorders>
          </w:tcPr>
          <w:p w:rsidR="00DF26C1" w:rsidRDefault="00DF26C1" w:rsidP="007B6DBD">
            <w:pPr>
              <w:pStyle w:val="TableParagraph"/>
              <w:kinsoku w:val="0"/>
              <w:overflowPunct w:val="0"/>
              <w:ind w:left="64"/>
            </w:pPr>
            <w:r>
              <w:rPr>
                <w:rFonts w:ascii="Arial" w:hAnsi="Arial" w:cs="Arial"/>
                <w:w w:val="105"/>
                <w:sz w:val="9"/>
                <w:szCs w:val="9"/>
              </w:rPr>
              <w:t>1,01</w:t>
            </w:r>
          </w:p>
        </w:tc>
        <w:tc>
          <w:tcPr>
            <w:tcW w:w="350"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99,76</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ind w:left="59"/>
            </w:pPr>
            <w:r>
              <w:rPr>
                <w:rFonts w:ascii="Arial" w:hAnsi="Arial" w:cs="Arial"/>
                <w:w w:val="105"/>
                <w:sz w:val="9"/>
                <w:szCs w:val="9"/>
              </w:rPr>
              <w:t>245</w:t>
            </w:r>
          </w:p>
        </w:tc>
        <w:tc>
          <w:tcPr>
            <w:tcW w:w="253" w:type="dxa"/>
            <w:tcBorders>
              <w:top w:val="nil"/>
              <w:left w:val="nil"/>
              <w:bottom w:val="nil"/>
              <w:right w:val="nil"/>
            </w:tcBorders>
          </w:tcPr>
          <w:p w:rsidR="00DF26C1" w:rsidRDefault="00DF26C1" w:rsidP="007B6DBD">
            <w:pPr>
              <w:pStyle w:val="TableParagraph"/>
              <w:kinsoku w:val="0"/>
              <w:overflowPunct w:val="0"/>
              <w:ind w:left="123"/>
            </w:pPr>
            <w:r>
              <w:rPr>
                <w:rFonts w:ascii="Arial" w:hAnsi="Arial" w:cs="Arial"/>
                <w:w w:val="105"/>
                <w:sz w:val="9"/>
                <w:szCs w:val="9"/>
              </w:rPr>
              <w:t>82</w:t>
            </w:r>
          </w:p>
        </w:tc>
        <w:tc>
          <w:tcPr>
            <w:tcW w:w="245" w:type="dxa"/>
            <w:tcBorders>
              <w:top w:val="nil"/>
              <w:left w:val="nil"/>
              <w:bottom w:val="nil"/>
              <w:right w:val="nil"/>
            </w:tcBorders>
          </w:tcPr>
          <w:p w:rsidR="00DF26C1" w:rsidRDefault="00DF26C1" w:rsidP="007B6DBD">
            <w:pPr>
              <w:pStyle w:val="TableParagraph"/>
              <w:kinsoku w:val="0"/>
              <w:overflowPunct w:val="0"/>
              <w:ind w:left="115"/>
            </w:pPr>
            <w:r>
              <w:rPr>
                <w:rFonts w:ascii="Arial" w:hAnsi="Arial" w:cs="Arial"/>
                <w:w w:val="105"/>
                <w:sz w:val="9"/>
                <w:szCs w:val="9"/>
              </w:rPr>
              <w:t>11</w:t>
            </w:r>
          </w:p>
        </w:tc>
        <w:tc>
          <w:tcPr>
            <w:tcW w:w="259" w:type="dxa"/>
            <w:tcBorders>
              <w:top w:val="nil"/>
              <w:left w:val="nil"/>
              <w:bottom w:val="nil"/>
              <w:right w:val="nil"/>
            </w:tcBorders>
          </w:tcPr>
          <w:p w:rsidR="00DF26C1" w:rsidRDefault="00DF26C1" w:rsidP="007B6DBD">
            <w:pPr>
              <w:pStyle w:val="TableParagraph"/>
              <w:kinsoku w:val="0"/>
              <w:overflowPunct w:val="0"/>
              <w:ind w:left="129"/>
            </w:pPr>
            <w:r>
              <w:rPr>
                <w:rFonts w:ascii="Arial" w:hAnsi="Arial" w:cs="Arial"/>
                <w:w w:val="105"/>
                <w:sz w:val="9"/>
                <w:szCs w:val="9"/>
              </w:rPr>
              <w:t>74</w:t>
            </w:r>
          </w:p>
        </w:tc>
        <w:tc>
          <w:tcPr>
            <w:tcW w:w="223" w:type="dxa"/>
            <w:tcBorders>
              <w:top w:val="nil"/>
              <w:left w:val="nil"/>
              <w:bottom w:val="nil"/>
              <w:right w:val="nil"/>
            </w:tcBorders>
          </w:tcPr>
          <w:p w:rsidR="00DF26C1" w:rsidRDefault="00DF26C1" w:rsidP="007B6DBD">
            <w:pPr>
              <w:pStyle w:val="TableParagraph"/>
              <w:kinsoku w:val="0"/>
              <w:overflowPunct w:val="0"/>
              <w:ind w:left="63"/>
            </w:pPr>
            <w:r>
              <w:rPr>
                <w:rFonts w:ascii="Arial" w:hAnsi="Arial" w:cs="Arial"/>
                <w:w w:val="105"/>
                <w:sz w:val="9"/>
                <w:szCs w:val="9"/>
              </w:rPr>
              <w:t>10</w:t>
            </w:r>
          </w:p>
        </w:tc>
        <w:tc>
          <w:tcPr>
            <w:tcW w:w="281" w:type="dxa"/>
            <w:tcBorders>
              <w:top w:val="nil"/>
              <w:left w:val="nil"/>
              <w:bottom w:val="nil"/>
              <w:right w:val="nil"/>
            </w:tcBorders>
          </w:tcPr>
          <w:p w:rsidR="00DF26C1" w:rsidRDefault="00DF26C1" w:rsidP="007B6DBD">
            <w:pPr>
              <w:pStyle w:val="TableParagraph"/>
              <w:kinsoku w:val="0"/>
              <w:overflowPunct w:val="0"/>
              <w:ind w:left="99"/>
            </w:pPr>
            <w:r>
              <w:rPr>
                <w:rFonts w:ascii="Arial" w:hAnsi="Arial" w:cs="Arial"/>
                <w:w w:val="105"/>
                <w:sz w:val="9"/>
                <w:szCs w:val="9"/>
              </w:rPr>
              <w:t>168</w:t>
            </w:r>
          </w:p>
        </w:tc>
        <w:tc>
          <w:tcPr>
            <w:tcW w:w="231" w:type="dxa"/>
            <w:tcBorders>
              <w:top w:val="nil"/>
              <w:left w:val="nil"/>
              <w:bottom w:val="nil"/>
              <w:right w:val="nil"/>
            </w:tcBorders>
          </w:tcPr>
          <w:p w:rsidR="00DF26C1" w:rsidRDefault="00DF26C1" w:rsidP="007B6DBD">
            <w:pPr>
              <w:pStyle w:val="TableParagraph"/>
              <w:kinsoku w:val="0"/>
              <w:overflowPunct w:val="0"/>
              <w:ind w:left="75"/>
            </w:pPr>
            <w:r>
              <w:rPr>
                <w:rFonts w:ascii="Arial" w:hAnsi="Arial" w:cs="Arial"/>
                <w:w w:val="105"/>
                <w:sz w:val="9"/>
                <w:szCs w:val="9"/>
              </w:rPr>
              <w:t>8,5</w:t>
            </w:r>
          </w:p>
        </w:tc>
        <w:tc>
          <w:tcPr>
            <w:tcW w:w="255"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13</w:t>
            </w:r>
          </w:p>
        </w:tc>
        <w:tc>
          <w:tcPr>
            <w:tcW w:w="302"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28,2</w:t>
            </w:r>
          </w:p>
        </w:tc>
        <w:tc>
          <w:tcPr>
            <w:tcW w:w="259" w:type="dxa"/>
            <w:tcBorders>
              <w:top w:val="nil"/>
              <w:left w:val="nil"/>
              <w:bottom w:val="nil"/>
              <w:right w:val="nil"/>
            </w:tcBorders>
          </w:tcPr>
          <w:p w:rsidR="00DF26C1" w:rsidRDefault="00DF26C1" w:rsidP="007B6DBD">
            <w:pPr>
              <w:pStyle w:val="TableParagraph"/>
              <w:kinsoku w:val="0"/>
              <w:overflowPunct w:val="0"/>
              <w:ind w:left="49"/>
            </w:pPr>
            <w:r>
              <w:rPr>
                <w:rFonts w:ascii="Arial" w:hAnsi="Arial" w:cs="Arial"/>
                <w:w w:val="105"/>
                <w:sz w:val="9"/>
                <w:szCs w:val="9"/>
              </w:rPr>
              <w:t>11,8</w:t>
            </w:r>
          </w:p>
        </w:tc>
        <w:tc>
          <w:tcPr>
            <w:tcW w:w="293" w:type="dxa"/>
            <w:gridSpan w:val="2"/>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2,95</w:t>
            </w:r>
          </w:p>
        </w:tc>
        <w:tc>
          <w:tcPr>
            <w:tcW w:w="250"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0,6</w:t>
            </w:r>
          </w:p>
        </w:tc>
        <w:tc>
          <w:tcPr>
            <w:tcW w:w="248"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2,7</w:t>
            </w:r>
          </w:p>
        </w:tc>
        <w:tc>
          <w:tcPr>
            <w:tcW w:w="232" w:type="dxa"/>
            <w:tcBorders>
              <w:top w:val="nil"/>
              <w:left w:val="nil"/>
              <w:bottom w:val="nil"/>
              <w:right w:val="nil"/>
            </w:tcBorders>
          </w:tcPr>
          <w:p w:rsidR="00DF26C1" w:rsidRDefault="00DF26C1" w:rsidP="007B6DBD">
            <w:pPr>
              <w:pStyle w:val="TableParagraph"/>
              <w:kinsoku w:val="0"/>
              <w:overflowPunct w:val="0"/>
              <w:ind w:left="75"/>
            </w:pPr>
            <w:r>
              <w:rPr>
                <w:rFonts w:ascii="Arial" w:hAnsi="Arial" w:cs="Arial"/>
                <w:w w:val="105"/>
                <w:sz w:val="9"/>
                <w:szCs w:val="9"/>
              </w:rPr>
              <w:t>2,2</w:t>
            </w:r>
          </w:p>
        </w:tc>
        <w:tc>
          <w:tcPr>
            <w:tcW w:w="264"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1,08</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ind w:left="41"/>
            </w:pPr>
            <w:r>
              <w:rPr>
                <w:rFonts w:ascii="Arial" w:hAnsi="Arial" w:cs="Arial"/>
                <w:w w:val="106"/>
                <w:sz w:val="9"/>
                <w:szCs w:val="9"/>
              </w:rPr>
              <w:t>3</w:t>
            </w:r>
          </w:p>
        </w:tc>
        <w:tc>
          <w:tcPr>
            <w:tcW w:w="225" w:type="dxa"/>
            <w:tcBorders>
              <w:top w:val="nil"/>
              <w:left w:val="nil"/>
              <w:bottom w:val="nil"/>
              <w:right w:val="nil"/>
            </w:tcBorders>
          </w:tcPr>
          <w:p w:rsidR="00DF26C1" w:rsidRDefault="00DF26C1" w:rsidP="007B6DBD">
            <w:pPr>
              <w:pStyle w:val="TableParagraph"/>
              <w:kinsoku w:val="0"/>
              <w:overflowPunct w:val="0"/>
              <w:ind w:left="11"/>
            </w:pPr>
            <w:r>
              <w:rPr>
                <w:rFonts w:ascii="Arial" w:hAnsi="Arial" w:cs="Arial"/>
                <w:w w:val="105"/>
                <w:sz w:val="9"/>
                <w:szCs w:val="9"/>
              </w:rPr>
              <w:t>&lt; 18</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Alb.</w:t>
            </w:r>
            <w:r>
              <w:rPr>
                <w:rFonts w:ascii="Arial" w:hAnsi="Arial" w:cs="Arial"/>
                <w:spacing w:val="-5"/>
                <w:w w:val="105"/>
                <w:sz w:val="9"/>
                <w:szCs w:val="9"/>
              </w:rPr>
              <w:t xml:space="preserve"> </w:t>
            </w:r>
            <w:r>
              <w:rPr>
                <w:rFonts w:ascii="Arial" w:hAnsi="Arial" w:cs="Arial"/>
                <w:w w:val="105"/>
                <w:sz w:val="9"/>
                <w:szCs w:val="9"/>
              </w:rPr>
              <w:t>ridge</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26</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rhyolite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CYA3-11</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33"/>
            </w:pPr>
            <w:r>
              <w:rPr>
                <w:rFonts w:ascii="Arial" w:hAnsi="Arial" w:cs="Arial"/>
                <w:w w:val="105"/>
                <w:sz w:val="9"/>
                <w:szCs w:val="9"/>
              </w:rPr>
              <w:t>27; 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68,44</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0,23</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14,73</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2.09</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0,04</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0,42</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2,36</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3,66</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4,1</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0,05</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3,72</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99,85</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169</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240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28</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189</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12</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796</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01"/>
            </w:pPr>
            <w:r>
              <w:rPr>
                <w:rFonts w:ascii="Arial" w:hAnsi="Arial" w:cs="Arial"/>
                <w:w w:val="105"/>
                <w:sz w:val="9"/>
                <w:szCs w:val="9"/>
              </w:rPr>
              <w:t>18</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35</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72</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32</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5,91</w:t>
            </w:r>
          </w:p>
        </w:tc>
        <w:tc>
          <w:tcPr>
            <w:tcW w:w="250" w:type="dxa"/>
            <w:tcBorders>
              <w:top w:val="nil"/>
              <w:left w:val="nil"/>
              <w:bottom w:val="nil"/>
              <w:right w:val="nil"/>
            </w:tcBorders>
          </w:tcPr>
          <w:p w:rsidR="00DF26C1" w:rsidRDefault="00DF26C1" w:rsidP="007B6DBD">
            <w:pPr>
              <w:pStyle w:val="TableParagraph"/>
              <w:kinsoku w:val="0"/>
              <w:overflowPunct w:val="0"/>
              <w:spacing w:before="4"/>
              <w:ind w:right="21"/>
              <w:jc w:val="right"/>
            </w:pPr>
            <w:r>
              <w:rPr>
                <w:rFonts w:ascii="Arial" w:hAnsi="Arial" w:cs="Arial"/>
                <w:w w:val="106"/>
                <w:sz w:val="9"/>
                <w:szCs w:val="9"/>
              </w:rPr>
              <w:t>1</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4,5</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4,4</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2,3</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6,2</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46</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0,71169</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0,51228</w:t>
            </w:r>
          </w:p>
        </w:tc>
        <w:tc>
          <w:tcPr>
            <w:tcW w:w="359"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18,870</w:t>
            </w:r>
          </w:p>
        </w:tc>
        <w:tc>
          <w:tcPr>
            <w:tcW w:w="358" w:type="dxa"/>
            <w:tcBorders>
              <w:top w:val="nil"/>
              <w:left w:val="nil"/>
              <w:bottom w:val="nil"/>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15,654</w:t>
            </w:r>
          </w:p>
        </w:tc>
        <w:tc>
          <w:tcPr>
            <w:tcW w:w="347"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38,777</w:t>
            </w:r>
          </w:p>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Alb.</w:t>
            </w:r>
            <w:r>
              <w:rPr>
                <w:rFonts w:ascii="Arial" w:hAnsi="Arial" w:cs="Arial"/>
                <w:spacing w:val="7"/>
                <w:w w:val="105"/>
                <w:sz w:val="9"/>
                <w:szCs w:val="9"/>
              </w:rPr>
              <w:t xml:space="preserve"> </w:t>
            </w:r>
            <w:r>
              <w:rPr>
                <w:rFonts w:ascii="Arial" w:hAnsi="Arial" w:cs="Arial"/>
                <w:spacing w:val="-3"/>
                <w:w w:val="105"/>
                <w:sz w:val="9"/>
                <w:szCs w:val="9"/>
              </w:rPr>
              <w:t>Island</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
              <w:jc w:val="center"/>
            </w:pPr>
            <w:r>
              <w:rPr>
                <w:rFonts w:ascii="Arial" w:hAnsi="Arial" w:cs="Arial"/>
                <w:w w:val="106"/>
                <w:sz w:val="9"/>
                <w:szCs w:val="9"/>
              </w:rPr>
              <w:t>"</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w:t>
            </w:r>
            <w:r>
              <w:rPr>
                <w:rFonts w:ascii="Arial" w:hAnsi="Arial" w:cs="Arial"/>
                <w:spacing w:val="-9"/>
                <w:w w:val="105"/>
                <w:sz w:val="9"/>
                <w:szCs w:val="9"/>
              </w:rPr>
              <w:t xml:space="preserve"> </w:t>
            </w: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2002</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27</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55,5</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0,54</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16,84</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8.86</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0,16</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5,66</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9,61</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1,91</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0,22</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0,16</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0,53</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99,95</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
              <w:jc w:val="center"/>
            </w:pPr>
            <w:r>
              <w:rPr>
                <w:rFonts w:ascii="Arial" w:hAnsi="Arial" w:cs="Arial"/>
                <w:w w:val="106"/>
                <w:sz w:val="9"/>
                <w:szCs w:val="9"/>
              </w:rPr>
              <w:t>4</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123"/>
            </w:pPr>
            <w:r>
              <w:rPr>
                <w:rFonts w:ascii="Arial" w:hAnsi="Arial" w:cs="Arial"/>
                <w:w w:val="105"/>
                <w:sz w:val="9"/>
                <w:szCs w:val="9"/>
              </w:rPr>
              <w:t>99</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30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26</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&lt;0.3</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51"/>
            </w:pPr>
            <w:r>
              <w:rPr>
                <w:rFonts w:ascii="Arial" w:hAnsi="Arial" w:cs="Arial"/>
                <w:w w:val="105"/>
                <w:sz w:val="9"/>
                <w:szCs w:val="9"/>
              </w:rPr>
              <w:t>21</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2,5</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45"/>
            </w:pPr>
            <w:r>
              <w:rPr>
                <w:rFonts w:ascii="Arial" w:hAnsi="Arial" w:cs="Arial"/>
                <w:w w:val="105"/>
                <w:sz w:val="9"/>
                <w:szCs w:val="9"/>
              </w:rPr>
              <w:t>6,5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6,05</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2,13</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0,7</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3,1</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4,2</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2,5</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20</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46</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0,70479</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0,51303</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spacing w:val="-3"/>
                <w:w w:val="105"/>
                <w:sz w:val="9"/>
                <w:szCs w:val="9"/>
              </w:rPr>
              <w:t xml:space="preserve">Yusuf </w:t>
            </w:r>
            <w:r>
              <w:rPr>
                <w:rFonts w:ascii="Arial" w:hAnsi="Arial" w:cs="Arial"/>
                <w:spacing w:val="9"/>
                <w:w w:val="105"/>
                <w:sz w:val="9"/>
                <w:szCs w:val="9"/>
              </w:rPr>
              <w:t xml:space="preserve"> </w:t>
            </w:r>
            <w:r>
              <w:rPr>
                <w:rFonts w:ascii="Arial" w:hAnsi="Arial" w:cs="Arial"/>
                <w:w w:val="105"/>
                <w:sz w:val="9"/>
                <w:szCs w:val="9"/>
              </w:rPr>
              <w:t>ridge</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26</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CYA</w:t>
            </w:r>
            <w:r>
              <w:rPr>
                <w:rFonts w:ascii="Arial" w:hAnsi="Arial" w:cs="Arial"/>
                <w:spacing w:val="2"/>
                <w:w w:val="105"/>
                <w:sz w:val="9"/>
                <w:szCs w:val="9"/>
              </w:rPr>
              <w:t xml:space="preserve"> </w:t>
            </w:r>
            <w:r>
              <w:rPr>
                <w:rFonts w:ascii="Arial" w:hAnsi="Arial" w:cs="Arial"/>
                <w:w w:val="105"/>
                <w:sz w:val="9"/>
                <w:szCs w:val="9"/>
              </w:rPr>
              <w:t>5-6</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60,20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0,65</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15,30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8.06</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0,15</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3,76</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8,31</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2,33</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0,3</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0,07</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0,76</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99,90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11</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123"/>
            </w:pPr>
            <w:r>
              <w:rPr>
                <w:rFonts w:ascii="Arial" w:hAnsi="Arial" w:cs="Arial"/>
                <w:w w:val="105"/>
                <w:sz w:val="9"/>
                <w:szCs w:val="9"/>
              </w:rPr>
              <w:t>70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22</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48</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0,6</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51"/>
            </w:pPr>
            <w:r>
              <w:rPr>
                <w:rFonts w:ascii="Arial" w:hAnsi="Arial" w:cs="Arial"/>
                <w:w w:val="105"/>
                <w:sz w:val="9"/>
                <w:szCs w:val="9"/>
              </w:rPr>
              <w:t>14</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0,50</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1,80</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4,90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4,50</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1,76</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0,62</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2,66</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3,56</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2,43</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29</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42</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0,70566</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0,51300</w:t>
            </w:r>
          </w:p>
        </w:tc>
        <w:tc>
          <w:tcPr>
            <w:tcW w:w="359"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18,731</w:t>
            </w:r>
          </w:p>
        </w:tc>
        <w:tc>
          <w:tcPr>
            <w:tcW w:w="358" w:type="dxa"/>
            <w:tcBorders>
              <w:top w:val="nil"/>
              <w:left w:val="nil"/>
              <w:bottom w:val="nil"/>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15,661</w:t>
            </w:r>
          </w:p>
        </w:tc>
        <w:tc>
          <w:tcPr>
            <w:tcW w:w="347"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38,777</w:t>
            </w:r>
          </w:p>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Mansour</w:t>
            </w:r>
            <w:r>
              <w:rPr>
                <w:rFonts w:ascii="Arial" w:hAnsi="Arial" w:cs="Arial"/>
                <w:spacing w:val="-7"/>
                <w:w w:val="105"/>
                <w:sz w:val="9"/>
                <w:szCs w:val="9"/>
              </w:rPr>
              <w:t xml:space="preserve"> </w:t>
            </w:r>
            <w:r>
              <w:rPr>
                <w:rFonts w:ascii="Arial" w:hAnsi="Arial" w:cs="Arial"/>
                <w:w w:val="105"/>
                <w:sz w:val="9"/>
                <w:szCs w:val="9"/>
              </w:rPr>
              <w:t>smt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
              <w:jc w:val="center"/>
            </w:pPr>
            <w:r>
              <w:rPr>
                <w:rFonts w:ascii="Arial" w:hAnsi="Arial" w:cs="Arial"/>
                <w:w w:val="106"/>
                <w:sz w:val="9"/>
                <w:szCs w:val="9"/>
              </w:rPr>
              <w:t>"</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w:t>
            </w:r>
            <w:r>
              <w:rPr>
                <w:rFonts w:ascii="Arial" w:hAnsi="Arial" w:cs="Arial"/>
                <w:spacing w:val="-9"/>
                <w:w w:val="105"/>
                <w:sz w:val="9"/>
                <w:szCs w:val="9"/>
              </w:rPr>
              <w:t xml:space="preserve"> </w:t>
            </w: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POS</w:t>
            </w:r>
            <w:r>
              <w:rPr>
                <w:rFonts w:ascii="Arial" w:hAnsi="Arial" w:cs="Arial"/>
                <w:spacing w:val="-4"/>
                <w:w w:val="105"/>
                <w:sz w:val="9"/>
                <w:szCs w:val="9"/>
              </w:rPr>
              <w:t xml:space="preserve"> </w:t>
            </w:r>
            <w:r>
              <w:rPr>
                <w:rFonts w:ascii="Arial" w:hAnsi="Arial" w:cs="Arial"/>
                <w:w w:val="105"/>
                <w:sz w:val="9"/>
                <w:szCs w:val="9"/>
              </w:rPr>
              <w:t>III-D-1</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51,50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0,87</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20,10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8.40</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0,15</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3,82</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10,9</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2,25</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0,4</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0,08</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1,37</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99,80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
              <w:jc w:val="center"/>
            </w:pPr>
            <w:r>
              <w:rPr>
                <w:rFonts w:ascii="Arial" w:hAnsi="Arial" w:cs="Arial"/>
                <w:w w:val="106"/>
                <w:sz w:val="9"/>
                <w:szCs w:val="9"/>
              </w:rPr>
              <w:t>9</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135</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21</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59</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1,2</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51"/>
            </w:pPr>
            <w:r>
              <w:rPr>
                <w:rFonts w:ascii="Arial" w:hAnsi="Arial" w:cs="Arial"/>
                <w:w w:val="105"/>
                <w:sz w:val="9"/>
                <w:szCs w:val="9"/>
              </w:rPr>
              <w:t>27</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0,80</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3,80</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8,90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6,70</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2,23</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0,83</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2,88</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3,57</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2,23</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19</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19</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0,70483</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0,51292</w:t>
            </w:r>
          </w:p>
        </w:tc>
        <w:tc>
          <w:tcPr>
            <w:tcW w:w="359"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18,716</w:t>
            </w:r>
          </w:p>
        </w:tc>
        <w:tc>
          <w:tcPr>
            <w:tcW w:w="358" w:type="dxa"/>
            <w:tcBorders>
              <w:top w:val="nil"/>
              <w:left w:val="nil"/>
              <w:bottom w:val="nil"/>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15,641</w:t>
            </w:r>
          </w:p>
        </w:tc>
        <w:tc>
          <w:tcPr>
            <w:tcW w:w="347"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38,691</w:t>
            </w:r>
          </w:p>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ODP site</w:t>
            </w:r>
            <w:r>
              <w:rPr>
                <w:rFonts w:ascii="Arial" w:hAnsi="Arial" w:cs="Arial"/>
                <w:spacing w:val="-2"/>
                <w:w w:val="105"/>
                <w:sz w:val="9"/>
                <w:szCs w:val="9"/>
              </w:rPr>
              <w:t xml:space="preserve"> </w:t>
            </w:r>
            <w:r>
              <w:rPr>
                <w:rFonts w:ascii="Arial" w:hAnsi="Arial" w:cs="Arial"/>
                <w:w w:val="105"/>
                <w:sz w:val="9"/>
                <w:szCs w:val="9"/>
              </w:rPr>
              <w:t>977</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
              <w:jc w:val="center"/>
            </w:pPr>
            <w:r>
              <w:rPr>
                <w:rFonts w:ascii="Arial" w:hAnsi="Arial" w:cs="Arial"/>
                <w:w w:val="106"/>
                <w:sz w:val="9"/>
                <w:szCs w:val="9"/>
              </w:rPr>
              <w:t>"</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rhyolite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7521</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33"/>
            </w:pPr>
            <w:r>
              <w:rPr>
                <w:rFonts w:ascii="Arial" w:hAnsi="Arial" w:cs="Arial"/>
                <w:w w:val="105"/>
                <w:sz w:val="9"/>
                <w:szCs w:val="9"/>
              </w:rPr>
              <w:t>24; 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72,9</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0,23</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14,17</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1.76</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0,01</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0,48</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1,70</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3,57</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4,62</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0,07</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0,56</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100,10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167</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187</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35"/>
            </w:pPr>
            <w:r>
              <w:rPr>
                <w:rFonts w:ascii="Arial" w:hAnsi="Arial" w:cs="Arial"/>
                <w:w w:val="105"/>
                <w:sz w:val="9"/>
                <w:szCs w:val="9"/>
              </w:rPr>
              <w:t>17,4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178</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11</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880</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01"/>
            </w:pPr>
            <w:r>
              <w:rPr>
                <w:rFonts w:ascii="Arial" w:hAnsi="Arial" w:cs="Arial"/>
                <w:w w:val="105"/>
                <w:sz w:val="9"/>
                <w:szCs w:val="9"/>
              </w:rPr>
              <w:t>19</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44</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88,6</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35,4</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6,58</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1,2</w:t>
            </w:r>
          </w:p>
        </w:tc>
        <w:tc>
          <w:tcPr>
            <w:tcW w:w="248" w:type="dxa"/>
            <w:tcBorders>
              <w:top w:val="nil"/>
              <w:left w:val="nil"/>
              <w:bottom w:val="nil"/>
              <w:right w:val="nil"/>
            </w:tcBorders>
          </w:tcPr>
          <w:p w:rsidR="00DF26C1" w:rsidRDefault="00DF26C1" w:rsidP="007B6DBD">
            <w:pPr>
              <w:pStyle w:val="TableParagraph"/>
              <w:kinsoku w:val="0"/>
              <w:overflowPunct w:val="0"/>
              <w:spacing w:before="4"/>
              <w:ind w:right="20"/>
              <w:jc w:val="right"/>
            </w:pPr>
            <w:r>
              <w:rPr>
                <w:rFonts w:ascii="Arial" w:hAnsi="Arial" w:cs="Arial"/>
                <w:w w:val="106"/>
                <w:sz w:val="9"/>
                <w:szCs w:val="9"/>
              </w:rPr>
              <w:t>5</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3,8</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1,76</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78"/>
            </w:pPr>
            <w:r>
              <w:rPr>
                <w:rFonts w:ascii="Arial" w:hAnsi="Arial" w:cs="Arial"/>
                <w:w w:val="105"/>
                <w:sz w:val="9"/>
                <w:szCs w:val="9"/>
              </w:rPr>
              <w:t>&lt; 2</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&lt; 18</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0,71275</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0,51227</w:t>
            </w:r>
          </w:p>
        </w:tc>
        <w:tc>
          <w:tcPr>
            <w:tcW w:w="359" w:type="dxa"/>
            <w:tcBorders>
              <w:top w:val="nil"/>
              <w:left w:val="nil"/>
              <w:bottom w:val="nil"/>
              <w:right w:val="nil"/>
            </w:tcBorders>
          </w:tcPr>
          <w:p w:rsidR="00DF26C1" w:rsidRDefault="00DF26C1" w:rsidP="007B6DBD">
            <w:pPr>
              <w:pStyle w:val="TableParagraph"/>
              <w:kinsoku w:val="0"/>
              <w:overflowPunct w:val="0"/>
              <w:spacing w:before="4"/>
              <w:ind w:left="82"/>
            </w:pPr>
            <w:r>
              <w:rPr>
                <w:rFonts w:ascii="Arial" w:hAnsi="Arial" w:cs="Arial"/>
                <w:w w:val="105"/>
                <w:sz w:val="9"/>
                <w:szCs w:val="9"/>
              </w:rPr>
              <w:t>18,87</w:t>
            </w:r>
          </w:p>
        </w:tc>
        <w:tc>
          <w:tcPr>
            <w:tcW w:w="358" w:type="dxa"/>
            <w:tcBorders>
              <w:top w:val="nil"/>
              <w:left w:val="nil"/>
              <w:bottom w:val="nil"/>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15,653</w:t>
            </w:r>
          </w:p>
        </w:tc>
        <w:tc>
          <w:tcPr>
            <w:tcW w:w="347"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38,790</w:t>
            </w:r>
          </w:p>
        </w:tc>
      </w:tr>
      <w:tr w:rsidR="00DF26C1" w:rsidTr="007B6DBD">
        <w:trPr>
          <w:trHeight w:hRule="exact" w:val="125"/>
        </w:trPr>
        <w:tc>
          <w:tcPr>
            <w:tcW w:w="921" w:type="dxa"/>
            <w:tcBorders>
              <w:top w:val="nil"/>
              <w:left w:val="nil"/>
              <w:bottom w:val="nil"/>
              <w:right w:val="nil"/>
            </w:tcBorders>
          </w:tcPr>
          <w:p w:rsidR="00DF26C1" w:rsidRDefault="00DF26C1" w:rsidP="007B6DBD">
            <w:pPr>
              <w:pStyle w:val="TableParagraph"/>
              <w:kinsoku w:val="0"/>
              <w:overflowPunct w:val="0"/>
              <w:spacing w:before="11"/>
              <w:ind w:left="23"/>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
              <w:jc w:val="center"/>
            </w:pPr>
            <w:r>
              <w:rPr>
                <w:rFonts w:ascii="Arial" w:hAnsi="Arial" w:cs="Arial"/>
                <w:w w:val="106"/>
                <w:sz w:val="9"/>
                <w:szCs w:val="9"/>
              </w:rPr>
              <w:t>"</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basalt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7523</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33"/>
            </w:pPr>
            <w:r>
              <w:rPr>
                <w:rFonts w:ascii="Arial" w:hAnsi="Arial" w:cs="Arial"/>
                <w:w w:val="105"/>
                <w:sz w:val="9"/>
                <w:szCs w:val="9"/>
              </w:rPr>
              <w:t>24; 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49,9</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0,77</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18,29</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7.85</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0,07</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6,48</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10,6</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2,70</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0,28</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0,15</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2,24</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98,80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71"/>
            </w:pPr>
            <w:r>
              <w:rPr>
                <w:rFonts w:ascii="Arial" w:hAnsi="Arial" w:cs="Arial"/>
                <w:w w:val="105"/>
                <w:sz w:val="9"/>
                <w:szCs w:val="9"/>
              </w:rPr>
              <w:t>&lt; 4</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385</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35"/>
            </w:pPr>
            <w:r>
              <w:rPr>
                <w:rFonts w:ascii="Arial" w:hAnsi="Arial" w:cs="Arial"/>
                <w:w w:val="105"/>
                <w:sz w:val="9"/>
                <w:szCs w:val="9"/>
              </w:rPr>
              <w:t>20,9</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83</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4</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51"/>
            </w:pPr>
            <w:r>
              <w:rPr>
                <w:rFonts w:ascii="Arial" w:hAnsi="Arial" w:cs="Arial"/>
                <w:w w:val="105"/>
                <w:sz w:val="9"/>
                <w:szCs w:val="9"/>
              </w:rPr>
              <w:t>82</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6,6</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13</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39,7</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17,3</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4,6</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1,2</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4,6</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4,5</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1,68</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26</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176</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0,70656</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0,51247</w:t>
            </w:r>
          </w:p>
        </w:tc>
        <w:tc>
          <w:tcPr>
            <w:tcW w:w="359" w:type="dxa"/>
            <w:tcBorders>
              <w:top w:val="nil"/>
              <w:left w:val="nil"/>
              <w:bottom w:val="nil"/>
              <w:right w:val="nil"/>
            </w:tcBorders>
          </w:tcPr>
          <w:p w:rsidR="00DF26C1" w:rsidRDefault="00DF26C1" w:rsidP="007B6DBD">
            <w:pPr>
              <w:pStyle w:val="TableParagraph"/>
              <w:kinsoku w:val="0"/>
              <w:overflowPunct w:val="0"/>
              <w:spacing w:before="4"/>
              <w:ind w:left="82"/>
            </w:pPr>
            <w:r>
              <w:rPr>
                <w:rFonts w:ascii="Arial" w:hAnsi="Arial" w:cs="Arial"/>
                <w:w w:val="105"/>
                <w:sz w:val="9"/>
                <w:szCs w:val="9"/>
              </w:rPr>
              <w:t>18,84</w:t>
            </w:r>
          </w:p>
        </w:tc>
        <w:tc>
          <w:tcPr>
            <w:tcW w:w="358" w:type="dxa"/>
            <w:tcBorders>
              <w:top w:val="nil"/>
              <w:left w:val="nil"/>
              <w:bottom w:val="nil"/>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15,656</w:t>
            </w:r>
          </w:p>
        </w:tc>
        <w:tc>
          <w:tcPr>
            <w:tcW w:w="347"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38,791</w:t>
            </w:r>
          </w:p>
        </w:tc>
      </w:tr>
      <w:tr w:rsidR="00DF26C1" w:rsidTr="007B6DBD">
        <w:trPr>
          <w:trHeight w:hRule="exact" w:val="114"/>
        </w:trPr>
        <w:tc>
          <w:tcPr>
            <w:tcW w:w="15854" w:type="dxa"/>
            <w:gridSpan w:val="48"/>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u w:val="single"/>
              </w:rPr>
              <w:t>Betic</w:t>
            </w:r>
            <w:r>
              <w:rPr>
                <w:rFonts w:ascii="Arial" w:hAnsi="Arial" w:cs="Arial"/>
                <w:spacing w:val="-5"/>
                <w:w w:val="105"/>
                <w:sz w:val="9"/>
                <w:szCs w:val="9"/>
                <w:u w:val="single"/>
              </w:rPr>
              <w:t xml:space="preserve"> </w:t>
            </w:r>
            <w:r>
              <w:rPr>
                <w:rFonts w:ascii="Arial" w:hAnsi="Arial" w:cs="Arial"/>
                <w:w w:val="105"/>
                <w:sz w:val="9"/>
                <w:szCs w:val="9"/>
                <w:u w:val="single"/>
              </w:rPr>
              <w:t>region</w:t>
            </w:r>
          </w:p>
        </w:tc>
      </w:tr>
      <w:tr w:rsidR="00DF26C1" w:rsidTr="007B6DBD">
        <w:trPr>
          <w:trHeight w:hRule="exact" w:val="114"/>
        </w:trPr>
        <w:tc>
          <w:tcPr>
            <w:tcW w:w="921" w:type="dxa"/>
            <w:tcBorders>
              <w:top w:val="nil"/>
              <w:left w:val="nil"/>
              <w:bottom w:val="nil"/>
              <w:right w:val="nil"/>
            </w:tcBorders>
          </w:tcPr>
          <w:p w:rsidR="00DF26C1" w:rsidRDefault="00DF26C1" w:rsidP="007B6DBD">
            <w:pPr>
              <w:pStyle w:val="TableParagraph"/>
              <w:kinsoku w:val="0"/>
              <w:overflowPunct w:val="0"/>
              <w:ind w:left="23"/>
            </w:pPr>
            <w:r>
              <w:rPr>
                <w:rFonts w:ascii="Arial" w:hAnsi="Arial" w:cs="Arial"/>
                <w:w w:val="105"/>
                <w:sz w:val="9"/>
                <w:szCs w:val="9"/>
              </w:rPr>
              <w:t>Malaga</w:t>
            </w:r>
          </w:p>
        </w:tc>
        <w:tc>
          <w:tcPr>
            <w:tcW w:w="503" w:type="dxa"/>
            <w:tcBorders>
              <w:top w:val="nil"/>
              <w:left w:val="nil"/>
              <w:bottom w:val="nil"/>
              <w:right w:val="nil"/>
            </w:tcBorders>
          </w:tcPr>
          <w:p w:rsidR="00DF26C1" w:rsidRDefault="00DF26C1" w:rsidP="007B6DBD">
            <w:pPr>
              <w:pStyle w:val="TableParagraph"/>
              <w:kinsoku w:val="0"/>
              <w:overflowPunct w:val="0"/>
              <w:ind w:left="17"/>
              <w:jc w:val="center"/>
            </w:pPr>
            <w:r>
              <w:rPr>
                <w:rFonts w:ascii="Arial" w:hAnsi="Arial" w:cs="Arial"/>
                <w:w w:val="105"/>
                <w:sz w:val="9"/>
                <w:szCs w:val="9"/>
              </w:rPr>
              <w:t>14</w:t>
            </w:r>
          </w:p>
        </w:tc>
        <w:tc>
          <w:tcPr>
            <w:tcW w:w="624" w:type="dxa"/>
            <w:tcBorders>
              <w:top w:val="nil"/>
              <w:left w:val="nil"/>
              <w:bottom w:val="nil"/>
              <w:right w:val="nil"/>
            </w:tcBorders>
          </w:tcPr>
          <w:p w:rsidR="00DF26C1" w:rsidRDefault="00DF26C1" w:rsidP="007B6DBD">
            <w:pPr>
              <w:pStyle w:val="TableParagraph"/>
              <w:kinsoku w:val="0"/>
              <w:overflowPunct w:val="0"/>
              <w:ind w:left="16"/>
            </w:pPr>
            <w:r>
              <w:rPr>
                <w:rFonts w:ascii="Arial" w:hAnsi="Arial" w:cs="Arial"/>
                <w:w w:val="105"/>
                <w:sz w:val="9"/>
                <w:szCs w:val="9"/>
              </w:rPr>
              <w:t>bas.</w:t>
            </w:r>
            <w:r>
              <w:rPr>
                <w:rFonts w:ascii="Arial" w:hAnsi="Arial" w:cs="Arial"/>
                <w:spacing w:val="17"/>
                <w:w w:val="105"/>
                <w:sz w:val="9"/>
                <w:szCs w:val="9"/>
              </w:rPr>
              <w:t xml:space="preserve"> </w:t>
            </w: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pPr>
              <w:pStyle w:val="TableParagraph"/>
              <w:kinsoku w:val="0"/>
              <w:overflowPunct w:val="0"/>
              <w:ind w:left="201"/>
            </w:pPr>
            <w:r>
              <w:rPr>
                <w:rFonts w:ascii="Arial" w:hAnsi="Arial" w:cs="Arial"/>
                <w:w w:val="105"/>
                <w:sz w:val="9"/>
                <w:szCs w:val="9"/>
              </w:rPr>
              <w:t>dike</w:t>
            </w:r>
          </w:p>
        </w:tc>
        <w:tc>
          <w:tcPr>
            <w:tcW w:w="503" w:type="dxa"/>
            <w:tcBorders>
              <w:top w:val="nil"/>
              <w:left w:val="nil"/>
              <w:bottom w:val="nil"/>
              <w:right w:val="nil"/>
            </w:tcBorders>
          </w:tcPr>
          <w:p w:rsidR="00DF26C1" w:rsidRDefault="00DF26C1" w:rsidP="007B6DBD">
            <w:pPr>
              <w:pStyle w:val="TableParagraph"/>
              <w:kinsoku w:val="0"/>
              <w:overflowPunct w:val="0"/>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ind w:left="6"/>
            </w:pPr>
            <w:r>
              <w:rPr>
                <w:rFonts w:ascii="Arial" w:hAnsi="Arial" w:cs="Arial"/>
                <w:w w:val="105"/>
                <w:sz w:val="9"/>
                <w:szCs w:val="9"/>
              </w:rPr>
              <w:t>AM240699-</w:t>
            </w:r>
          </w:p>
        </w:tc>
        <w:tc>
          <w:tcPr>
            <w:tcW w:w="437" w:type="dxa"/>
            <w:tcBorders>
              <w:top w:val="nil"/>
              <w:left w:val="nil"/>
              <w:bottom w:val="nil"/>
              <w:right w:val="nil"/>
            </w:tcBorders>
          </w:tcPr>
          <w:p w:rsidR="00DF26C1" w:rsidRDefault="00DF26C1" w:rsidP="007B6DBD">
            <w:pPr>
              <w:pStyle w:val="TableParagraph"/>
              <w:kinsoku w:val="0"/>
              <w:overflowPunct w:val="0"/>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ind w:left="112"/>
            </w:pPr>
            <w:r>
              <w:rPr>
                <w:rFonts w:ascii="Arial" w:hAnsi="Arial" w:cs="Arial"/>
                <w:w w:val="105"/>
                <w:sz w:val="9"/>
                <w:szCs w:val="9"/>
              </w:rPr>
              <w:t>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ind w:left="84"/>
            </w:pPr>
            <w:r>
              <w:rPr>
                <w:rFonts w:ascii="Arial" w:hAnsi="Arial" w:cs="Arial"/>
                <w:w w:val="105"/>
                <w:sz w:val="9"/>
                <w:szCs w:val="9"/>
              </w:rPr>
              <w:t>54,9</w:t>
            </w:r>
          </w:p>
        </w:tc>
        <w:tc>
          <w:tcPr>
            <w:tcW w:w="293"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0,47</w:t>
            </w:r>
          </w:p>
        </w:tc>
        <w:tc>
          <w:tcPr>
            <w:tcW w:w="308" w:type="dxa"/>
            <w:tcBorders>
              <w:top w:val="nil"/>
              <w:left w:val="nil"/>
              <w:bottom w:val="nil"/>
              <w:right w:val="nil"/>
            </w:tcBorders>
          </w:tcPr>
          <w:p w:rsidR="00DF26C1" w:rsidRDefault="00DF26C1" w:rsidP="007B6DBD">
            <w:pPr>
              <w:pStyle w:val="TableParagraph"/>
              <w:kinsoku w:val="0"/>
              <w:overflowPunct w:val="0"/>
              <w:ind w:left="57"/>
            </w:pPr>
            <w:r>
              <w:rPr>
                <w:rFonts w:ascii="Arial" w:hAnsi="Arial" w:cs="Arial"/>
                <w:w w:val="105"/>
                <w:sz w:val="9"/>
                <w:szCs w:val="9"/>
              </w:rPr>
              <w:t>16,60</w:t>
            </w:r>
          </w:p>
        </w:tc>
        <w:tc>
          <w:tcPr>
            <w:tcW w:w="353" w:type="dxa"/>
            <w:tcBorders>
              <w:top w:val="nil"/>
              <w:left w:val="nil"/>
              <w:bottom w:val="nil"/>
              <w:right w:val="nil"/>
            </w:tcBorders>
          </w:tcPr>
          <w:p w:rsidR="00DF26C1" w:rsidRDefault="00DF26C1" w:rsidP="007B6DBD">
            <w:pPr>
              <w:pStyle w:val="TableParagraph"/>
              <w:kinsoku w:val="0"/>
              <w:overflowPunct w:val="0"/>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5.88</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ind w:left="28"/>
            </w:pPr>
            <w:r>
              <w:rPr>
                <w:rFonts w:ascii="Arial" w:hAnsi="Arial" w:cs="Arial"/>
                <w:w w:val="105"/>
                <w:sz w:val="9"/>
                <w:szCs w:val="9"/>
              </w:rPr>
              <w:t>0,10</w:t>
            </w:r>
          </w:p>
        </w:tc>
        <w:tc>
          <w:tcPr>
            <w:tcW w:w="269"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6,26</w:t>
            </w:r>
          </w:p>
        </w:tc>
        <w:tc>
          <w:tcPr>
            <w:tcW w:w="261" w:type="dxa"/>
            <w:tcBorders>
              <w:top w:val="nil"/>
              <w:left w:val="nil"/>
              <w:bottom w:val="nil"/>
              <w:right w:val="nil"/>
            </w:tcBorders>
          </w:tcPr>
          <w:p w:rsidR="00DF26C1" w:rsidRDefault="00DF26C1" w:rsidP="007B6DBD">
            <w:pPr>
              <w:pStyle w:val="TableParagraph"/>
              <w:kinsoku w:val="0"/>
              <w:overflowPunct w:val="0"/>
              <w:ind w:left="56"/>
            </w:pPr>
            <w:r>
              <w:rPr>
                <w:rFonts w:ascii="Arial" w:hAnsi="Arial" w:cs="Arial"/>
                <w:w w:val="105"/>
                <w:sz w:val="9"/>
                <w:szCs w:val="9"/>
              </w:rPr>
              <w:t>8,83</w:t>
            </w:r>
          </w:p>
        </w:tc>
        <w:tc>
          <w:tcPr>
            <w:tcW w:w="278"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2,97</w:t>
            </w:r>
          </w:p>
        </w:tc>
        <w:tc>
          <w:tcPr>
            <w:tcW w:w="237" w:type="dxa"/>
            <w:tcBorders>
              <w:top w:val="nil"/>
              <w:left w:val="nil"/>
              <w:bottom w:val="nil"/>
              <w:right w:val="nil"/>
            </w:tcBorders>
          </w:tcPr>
          <w:p w:rsidR="00DF26C1" w:rsidRDefault="00DF26C1" w:rsidP="007B6DBD">
            <w:pPr>
              <w:pStyle w:val="TableParagraph"/>
              <w:kinsoku w:val="0"/>
              <w:overflowPunct w:val="0"/>
              <w:ind w:left="26"/>
            </w:pPr>
            <w:r>
              <w:rPr>
                <w:rFonts w:ascii="Arial" w:hAnsi="Arial" w:cs="Arial"/>
                <w:w w:val="105"/>
                <w:sz w:val="9"/>
                <w:szCs w:val="9"/>
              </w:rPr>
              <w:t>0,65</w:t>
            </w:r>
          </w:p>
        </w:tc>
        <w:tc>
          <w:tcPr>
            <w:tcW w:w="296"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0,06</w:t>
            </w:r>
          </w:p>
        </w:tc>
        <w:tc>
          <w:tcPr>
            <w:tcW w:w="274" w:type="dxa"/>
            <w:tcBorders>
              <w:top w:val="nil"/>
              <w:left w:val="nil"/>
              <w:bottom w:val="nil"/>
              <w:right w:val="nil"/>
            </w:tcBorders>
          </w:tcPr>
          <w:p w:rsidR="00DF26C1" w:rsidRDefault="00DF26C1" w:rsidP="007B6DBD">
            <w:pPr>
              <w:pStyle w:val="TableParagraph"/>
              <w:kinsoku w:val="0"/>
              <w:overflowPunct w:val="0"/>
              <w:ind w:left="64"/>
            </w:pPr>
            <w:r>
              <w:rPr>
                <w:rFonts w:ascii="Arial" w:hAnsi="Arial" w:cs="Arial"/>
                <w:w w:val="105"/>
                <w:sz w:val="9"/>
                <w:szCs w:val="9"/>
              </w:rPr>
              <w:t>2,84</w:t>
            </w:r>
          </w:p>
        </w:tc>
        <w:tc>
          <w:tcPr>
            <w:tcW w:w="350"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99,60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ind w:left="86"/>
            </w:pPr>
            <w:r>
              <w:rPr>
                <w:rFonts w:ascii="Arial" w:hAnsi="Arial" w:cs="Arial"/>
                <w:w w:val="105"/>
                <w:sz w:val="9"/>
                <w:szCs w:val="9"/>
              </w:rPr>
              <w:t>23</w:t>
            </w:r>
          </w:p>
        </w:tc>
        <w:tc>
          <w:tcPr>
            <w:tcW w:w="253" w:type="dxa"/>
            <w:tcBorders>
              <w:top w:val="nil"/>
              <w:left w:val="nil"/>
              <w:bottom w:val="nil"/>
              <w:right w:val="nil"/>
            </w:tcBorders>
          </w:tcPr>
          <w:p w:rsidR="00DF26C1" w:rsidRDefault="00DF26C1" w:rsidP="007B6DBD">
            <w:pPr>
              <w:pStyle w:val="TableParagraph"/>
              <w:kinsoku w:val="0"/>
              <w:overflowPunct w:val="0"/>
              <w:ind w:left="70"/>
            </w:pPr>
            <w:r>
              <w:rPr>
                <w:rFonts w:ascii="Arial" w:hAnsi="Arial" w:cs="Arial"/>
                <w:w w:val="105"/>
                <w:sz w:val="9"/>
                <w:szCs w:val="9"/>
              </w:rPr>
              <w:t>237</w:t>
            </w:r>
          </w:p>
        </w:tc>
        <w:tc>
          <w:tcPr>
            <w:tcW w:w="245" w:type="dxa"/>
            <w:tcBorders>
              <w:top w:val="nil"/>
              <w:left w:val="nil"/>
              <w:bottom w:val="nil"/>
              <w:right w:val="nil"/>
            </w:tcBorders>
          </w:tcPr>
          <w:p w:rsidR="00DF26C1" w:rsidRDefault="00DF26C1" w:rsidP="007B6DBD">
            <w:pPr>
              <w:pStyle w:val="TableParagraph"/>
              <w:kinsoku w:val="0"/>
              <w:overflowPunct w:val="0"/>
              <w:ind w:left="115"/>
            </w:pPr>
            <w:r>
              <w:rPr>
                <w:rFonts w:ascii="Arial" w:hAnsi="Arial" w:cs="Arial"/>
                <w:w w:val="105"/>
                <w:sz w:val="9"/>
                <w:szCs w:val="9"/>
              </w:rPr>
              <w:t>20</w:t>
            </w:r>
          </w:p>
        </w:tc>
        <w:tc>
          <w:tcPr>
            <w:tcW w:w="259" w:type="dxa"/>
            <w:tcBorders>
              <w:top w:val="nil"/>
              <w:left w:val="nil"/>
              <w:bottom w:val="nil"/>
              <w:right w:val="nil"/>
            </w:tcBorders>
          </w:tcPr>
          <w:p w:rsidR="00DF26C1" w:rsidRDefault="00DF26C1" w:rsidP="007B6DBD">
            <w:pPr>
              <w:pStyle w:val="TableParagraph"/>
              <w:kinsoku w:val="0"/>
              <w:overflowPunct w:val="0"/>
              <w:ind w:left="129"/>
            </w:pPr>
            <w:r>
              <w:rPr>
                <w:rFonts w:ascii="Arial" w:hAnsi="Arial" w:cs="Arial"/>
                <w:w w:val="105"/>
                <w:sz w:val="9"/>
                <w:szCs w:val="9"/>
              </w:rPr>
              <w:t>62</w:t>
            </w:r>
          </w:p>
        </w:tc>
        <w:tc>
          <w:tcPr>
            <w:tcW w:w="223" w:type="dxa"/>
            <w:tcBorders>
              <w:top w:val="nil"/>
              <w:left w:val="nil"/>
              <w:bottom w:val="nil"/>
              <w:right w:val="nil"/>
            </w:tcBorders>
          </w:tcPr>
          <w:p w:rsidR="00DF26C1" w:rsidRDefault="00DF26C1" w:rsidP="007B6DBD">
            <w:pPr>
              <w:pStyle w:val="TableParagraph"/>
              <w:kinsoku w:val="0"/>
              <w:overflowPunct w:val="0"/>
              <w:ind w:left="49"/>
            </w:pPr>
            <w:r>
              <w:rPr>
                <w:rFonts w:ascii="Arial" w:hAnsi="Arial" w:cs="Arial"/>
                <w:w w:val="105"/>
                <w:sz w:val="9"/>
                <w:szCs w:val="9"/>
              </w:rPr>
              <w:t>1,9</w:t>
            </w:r>
          </w:p>
        </w:tc>
        <w:tc>
          <w:tcPr>
            <w:tcW w:w="281" w:type="dxa"/>
            <w:tcBorders>
              <w:top w:val="nil"/>
              <w:left w:val="nil"/>
              <w:bottom w:val="nil"/>
              <w:right w:val="nil"/>
            </w:tcBorders>
          </w:tcPr>
          <w:p w:rsidR="00DF26C1" w:rsidRDefault="00DF26C1" w:rsidP="007B6DBD">
            <w:pPr>
              <w:pStyle w:val="TableParagraph"/>
              <w:kinsoku w:val="0"/>
              <w:overflowPunct w:val="0"/>
              <w:ind w:left="99"/>
            </w:pPr>
            <w:r>
              <w:rPr>
                <w:rFonts w:ascii="Arial" w:hAnsi="Arial" w:cs="Arial"/>
                <w:w w:val="105"/>
                <w:sz w:val="9"/>
                <w:szCs w:val="9"/>
              </w:rPr>
              <w:t>135</w:t>
            </w:r>
          </w:p>
        </w:tc>
        <w:tc>
          <w:tcPr>
            <w:tcW w:w="231" w:type="dxa"/>
            <w:tcBorders>
              <w:top w:val="nil"/>
              <w:left w:val="nil"/>
              <w:bottom w:val="nil"/>
              <w:right w:val="nil"/>
            </w:tcBorders>
          </w:tcPr>
          <w:p w:rsidR="00DF26C1" w:rsidRDefault="00DF26C1" w:rsidP="007B6DBD">
            <w:pPr>
              <w:pStyle w:val="TableParagraph"/>
              <w:kinsoku w:val="0"/>
              <w:overflowPunct w:val="0"/>
              <w:ind w:left="75"/>
            </w:pPr>
            <w:r>
              <w:rPr>
                <w:rFonts w:ascii="Arial" w:hAnsi="Arial" w:cs="Arial"/>
                <w:w w:val="105"/>
                <w:sz w:val="9"/>
                <w:szCs w:val="9"/>
              </w:rPr>
              <w:t>2,7</w:t>
            </w:r>
          </w:p>
        </w:tc>
        <w:tc>
          <w:tcPr>
            <w:tcW w:w="255" w:type="dxa"/>
            <w:tcBorders>
              <w:top w:val="nil"/>
              <w:left w:val="nil"/>
              <w:bottom w:val="nil"/>
              <w:right w:val="nil"/>
            </w:tcBorders>
          </w:tcPr>
          <w:p w:rsidR="00DF26C1" w:rsidRDefault="00DF26C1" w:rsidP="007B6DBD">
            <w:pPr>
              <w:pStyle w:val="TableParagraph"/>
              <w:kinsoku w:val="0"/>
              <w:overflowPunct w:val="0"/>
              <w:ind w:left="160"/>
            </w:pPr>
            <w:r>
              <w:rPr>
                <w:rFonts w:ascii="Arial" w:hAnsi="Arial" w:cs="Arial"/>
                <w:w w:val="106"/>
                <w:sz w:val="9"/>
                <w:szCs w:val="9"/>
              </w:rPr>
              <w:t>7</w:t>
            </w:r>
          </w:p>
        </w:tc>
        <w:tc>
          <w:tcPr>
            <w:tcW w:w="302"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15,3</w:t>
            </w:r>
          </w:p>
        </w:tc>
        <w:tc>
          <w:tcPr>
            <w:tcW w:w="259" w:type="dxa"/>
            <w:tcBorders>
              <w:top w:val="nil"/>
              <w:left w:val="nil"/>
              <w:bottom w:val="nil"/>
              <w:right w:val="nil"/>
            </w:tcBorders>
          </w:tcPr>
          <w:p w:rsidR="00DF26C1" w:rsidRDefault="00DF26C1" w:rsidP="007B6DBD">
            <w:pPr>
              <w:pStyle w:val="TableParagraph"/>
              <w:kinsoku w:val="0"/>
              <w:overflowPunct w:val="0"/>
              <w:ind w:left="49"/>
            </w:pPr>
            <w:r>
              <w:rPr>
                <w:rFonts w:ascii="Arial" w:hAnsi="Arial" w:cs="Arial"/>
                <w:w w:val="105"/>
                <w:sz w:val="9"/>
                <w:szCs w:val="9"/>
              </w:rPr>
              <w:t>7,92</w:t>
            </w:r>
          </w:p>
        </w:tc>
        <w:tc>
          <w:tcPr>
            <w:tcW w:w="293" w:type="dxa"/>
            <w:gridSpan w:val="2"/>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2,04</w:t>
            </w:r>
          </w:p>
        </w:tc>
        <w:tc>
          <w:tcPr>
            <w:tcW w:w="250"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0,6</w:t>
            </w:r>
          </w:p>
        </w:tc>
        <w:tc>
          <w:tcPr>
            <w:tcW w:w="248"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2,2</w:t>
            </w:r>
          </w:p>
        </w:tc>
        <w:tc>
          <w:tcPr>
            <w:tcW w:w="232" w:type="dxa"/>
            <w:tcBorders>
              <w:top w:val="nil"/>
              <w:left w:val="nil"/>
              <w:bottom w:val="nil"/>
              <w:right w:val="nil"/>
            </w:tcBorders>
          </w:tcPr>
          <w:p w:rsidR="00DF26C1" w:rsidRDefault="00DF26C1" w:rsidP="007B6DBD">
            <w:pPr>
              <w:pStyle w:val="TableParagraph"/>
              <w:kinsoku w:val="0"/>
              <w:overflowPunct w:val="0"/>
              <w:ind w:left="75"/>
            </w:pPr>
            <w:r>
              <w:rPr>
                <w:rFonts w:ascii="Arial" w:hAnsi="Arial" w:cs="Arial"/>
                <w:w w:val="105"/>
                <w:sz w:val="9"/>
                <w:szCs w:val="9"/>
              </w:rPr>
              <w:t>2,4</w:t>
            </w:r>
          </w:p>
        </w:tc>
        <w:tc>
          <w:tcPr>
            <w:tcW w:w="264"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1,42</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ind w:left="-11"/>
            </w:pPr>
            <w:r>
              <w:rPr>
                <w:rFonts w:ascii="Arial" w:hAnsi="Arial" w:cs="Arial"/>
                <w:w w:val="105"/>
                <w:sz w:val="9"/>
                <w:szCs w:val="9"/>
              </w:rPr>
              <w:t>14</w:t>
            </w:r>
          </w:p>
        </w:tc>
        <w:tc>
          <w:tcPr>
            <w:tcW w:w="225" w:type="dxa"/>
            <w:tcBorders>
              <w:top w:val="nil"/>
              <w:left w:val="nil"/>
              <w:bottom w:val="nil"/>
              <w:right w:val="nil"/>
            </w:tcBorders>
          </w:tcPr>
          <w:p w:rsidR="00DF26C1" w:rsidRDefault="00DF26C1" w:rsidP="007B6DBD">
            <w:pPr>
              <w:pStyle w:val="TableParagraph"/>
              <w:kinsoku w:val="0"/>
              <w:overflowPunct w:val="0"/>
              <w:ind w:left="40"/>
            </w:pPr>
            <w:r>
              <w:rPr>
                <w:rFonts w:ascii="Arial" w:hAnsi="Arial" w:cs="Arial"/>
                <w:w w:val="105"/>
                <w:sz w:val="9"/>
                <w:szCs w:val="9"/>
              </w:rPr>
              <w:t>103</w:t>
            </w:r>
          </w:p>
        </w:tc>
        <w:tc>
          <w:tcPr>
            <w:tcW w:w="625" w:type="dxa"/>
            <w:tcBorders>
              <w:top w:val="nil"/>
              <w:left w:val="nil"/>
              <w:bottom w:val="nil"/>
              <w:right w:val="nil"/>
            </w:tcBorders>
          </w:tcPr>
          <w:p w:rsidR="00DF26C1" w:rsidRDefault="00DF26C1" w:rsidP="007B6DBD">
            <w:pPr>
              <w:pStyle w:val="TableParagraph"/>
              <w:kinsoku w:val="0"/>
              <w:overflowPunct w:val="0"/>
              <w:ind w:left="255"/>
            </w:pPr>
            <w:r>
              <w:rPr>
                <w:rFonts w:ascii="Arial" w:hAnsi="Arial" w:cs="Arial"/>
                <w:w w:val="105"/>
                <w:sz w:val="9"/>
                <w:szCs w:val="9"/>
              </w:rPr>
              <w:t>0,71187</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ind w:left="245"/>
            </w:pPr>
            <w:r>
              <w:rPr>
                <w:rFonts w:ascii="Arial" w:hAnsi="Arial" w:cs="Arial"/>
                <w:w w:val="105"/>
                <w:sz w:val="9"/>
                <w:szCs w:val="9"/>
              </w:rPr>
              <w:t>0,51256</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Malaga</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basalt</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16"/>
              <w:jc w:val="center"/>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CB230699-</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52,8</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0,68</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16,70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7.60</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0,17</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6,52</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9,84</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2,41</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0,65</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0,07</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2,39</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99,90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20</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231</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56</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1,7</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51"/>
            </w:pPr>
            <w:r>
              <w:rPr>
                <w:rFonts w:ascii="Arial" w:hAnsi="Arial" w:cs="Arial"/>
                <w:w w:val="105"/>
                <w:sz w:val="9"/>
                <w:szCs w:val="9"/>
              </w:rPr>
              <w:t>79</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0,7</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3,3</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8,02</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02"/>
            </w:pPr>
            <w:r>
              <w:rPr>
                <w:rFonts w:ascii="Arial" w:hAnsi="Arial" w:cs="Arial"/>
                <w:w w:val="105"/>
                <w:sz w:val="9"/>
                <w:szCs w:val="9"/>
              </w:rPr>
              <w:t>5,4</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1,68</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0,6</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2,1</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2,4</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1,33</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32</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60</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0,71005</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0,51282</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Malaga</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basalt</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16"/>
              <w:jc w:val="center"/>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M2</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25</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53,2</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0,83</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15,74</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9.62</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0,18</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5,13</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9,45</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2,43</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0,30</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0,08</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3,05</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100,05</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45"/>
            </w:pPr>
            <w:r>
              <w:rPr>
                <w:rFonts w:ascii="Arial" w:hAnsi="Arial" w:cs="Arial"/>
                <w:w w:val="105"/>
                <w:sz w:val="9"/>
                <w:szCs w:val="9"/>
              </w:rPr>
              <w:t>14,4</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170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19</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37,5</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1,9</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51"/>
            </w:pPr>
            <w:r>
              <w:rPr>
                <w:rFonts w:ascii="Arial" w:hAnsi="Arial" w:cs="Arial"/>
                <w:w w:val="105"/>
                <w:sz w:val="9"/>
                <w:szCs w:val="9"/>
              </w:rPr>
              <w:t>50</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0,7</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2,9</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7,63</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6,54</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2,11</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0,8</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2,8</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3,1</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1,92</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28</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145"/>
            </w:pPr>
            <w:r>
              <w:rPr>
                <w:rFonts w:ascii="Arial" w:hAnsi="Arial" w:cs="Arial"/>
                <w:w w:val="106"/>
                <w:sz w:val="9"/>
                <w:szCs w:val="9"/>
              </w:rPr>
              <w:t>6</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Malaga</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basalt</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16"/>
              <w:jc w:val="center"/>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IB</w:t>
            </w:r>
            <w:r>
              <w:rPr>
                <w:rFonts w:ascii="Arial" w:hAnsi="Arial" w:cs="Arial"/>
                <w:spacing w:val="-1"/>
                <w:w w:val="105"/>
                <w:sz w:val="9"/>
                <w:szCs w:val="9"/>
              </w:rPr>
              <w:t xml:space="preserve"> </w:t>
            </w:r>
            <w:r>
              <w:rPr>
                <w:rFonts w:ascii="Arial" w:hAnsi="Arial" w:cs="Arial"/>
                <w:w w:val="105"/>
                <w:sz w:val="9"/>
                <w:szCs w:val="9"/>
              </w:rPr>
              <w:t>18</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21</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50,9</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0,48</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15,53</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2,07</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6,13</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0,16</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7,28</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11,9</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2,41</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0,36</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0,06</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2,67</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71"/>
            </w:pPr>
            <w:r>
              <w:rPr>
                <w:rFonts w:ascii="Arial" w:hAnsi="Arial" w:cs="Arial"/>
                <w:w w:val="105"/>
                <w:sz w:val="9"/>
                <w:szCs w:val="9"/>
              </w:rPr>
              <w:t>9,5</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155</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18</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64</w:t>
            </w:r>
          </w:p>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0,6</w:t>
            </w:r>
          </w:p>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pPr>
              <w:pStyle w:val="TableParagraph"/>
              <w:kinsoku w:val="0"/>
              <w:overflowPunct w:val="0"/>
              <w:spacing w:before="4"/>
              <w:ind w:left="145"/>
            </w:pPr>
            <w:r>
              <w:rPr>
                <w:rFonts w:ascii="Arial" w:hAnsi="Arial" w:cs="Arial"/>
                <w:w w:val="105"/>
                <w:sz w:val="9"/>
                <w:szCs w:val="9"/>
              </w:rPr>
              <w:t>3,3</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225</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0,70590</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Malaga</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w:t>
            </w:r>
            <w:r>
              <w:rPr>
                <w:rFonts w:ascii="Arial" w:hAnsi="Arial" w:cs="Arial"/>
                <w:spacing w:val="17"/>
                <w:w w:val="105"/>
                <w:sz w:val="9"/>
                <w:szCs w:val="9"/>
              </w:rPr>
              <w:t xml:space="preserve"> </w:t>
            </w: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16"/>
              <w:jc w:val="center"/>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tholeiite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IB</w:t>
            </w:r>
            <w:r>
              <w:rPr>
                <w:rFonts w:ascii="Arial" w:hAnsi="Arial" w:cs="Arial"/>
                <w:spacing w:val="-1"/>
                <w:w w:val="105"/>
                <w:sz w:val="9"/>
                <w:szCs w:val="9"/>
              </w:rPr>
              <w:t xml:space="preserve"> </w:t>
            </w:r>
            <w:r>
              <w:rPr>
                <w:rFonts w:ascii="Arial" w:hAnsi="Arial" w:cs="Arial"/>
                <w:w w:val="105"/>
                <w:sz w:val="9"/>
                <w:szCs w:val="9"/>
              </w:rPr>
              <w:t>44</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21</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55,8</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0,76</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15,62</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1,43</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6,99</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0,16</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4,96</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8,76</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2,78</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0,76</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0,08</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1,91</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35</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161</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72</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72</w:t>
            </w:r>
          </w:p>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0,9</w:t>
            </w:r>
          </w:p>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pPr>
              <w:pStyle w:val="TableParagraph"/>
              <w:kinsoku w:val="0"/>
              <w:overflowPunct w:val="0"/>
              <w:spacing w:before="4"/>
              <w:ind w:left="145"/>
            </w:pPr>
            <w:r>
              <w:rPr>
                <w:rFonts w:ascii="Arial" w:hAnsi="Arial" w:cs="Arial"/>
                <w:w w:val="105"/>
                <w:sz w:val="9"/>
                <w:szCs w:val="9"/>
              </w:rPr>
              <w:t>9,4</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108</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1"/>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Malaga</w:t>
            </w:r>
          </w:p>
        </w:tc>
        <w:tc>
          <w:tcPr>
            <w:tcW w:w="503" w:type="dxa"/>
            <w:tcBorders>
              <w:top w:val="nil"/>
              <w:left w:val="nil"/>
              <w:bottom w:val="nil"/>
              <w:right w:val="nil"/>
            </w:tcBorders>
          </w:tcPr>
          <w:p w:rsidR="00DF26C1" w:rsidRDefault="00DF26C1" w:rsidP="007B6DBD">
            <w:pPr>
              <w:pStyle w:val="TableParagraph"/>
              <w:kinsoku w:val="0"/>
              <w:overflowPunct w:val="0"/>
              <w:spacing w:before="11"/>
              <w:ind w:left="17"/>
              <w:jc w:val="center"/>
            </w:pPr>
            <w:r>
              <w:rPr>
                <w:rFonts w:ascii="Arial" w:hAnsi="Arial" w:cs="Arial"/>
                <w:w w:val="105"/>
                <w:sz w:val="9"/>
                <w:szCs w:val="9"/>
              </w:rPr>
              <w:t>14</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granite</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16"/>
              <w:jc w:val="center"/>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MI22;</w:t>
            </w:r>
            <w:r>
              <w:rPr>
                <w:rFonts w:ascii="Arial" w:hAnsi="Arial" w:cs="Arial"/>
                <w:spacing w:val="-3"/>
                <w:w w:val="105"/>
                <w:sz w:val="9"/>
                <w:szCs w:val="9"/>
              </w:rPr>
              <w:t xml:space="preserve"> </w:t>
            </w:r>
            <w:r>
              <w:rPr>
                <w:rFonts w:ascii="Arial" w:hAnsi="Arial" w:cs="Arial"/>
                <w:w w:val="105"/>
                <w:sz w:val="9"/>
                <w:szCs w:val="9"/>
              </w:rPr>
              <w:t>0699-</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74,0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0,11</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14,4</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1.09</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0,04</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
            </w:pPr>
            <w:r>
              <w:rPr>
                <w:rFonts w:ascii="Arial" w:hAnsi="Arial" w:cs="Arial"/>
                <w:w w:val="105"/>
                <w:sz w:val="9"/>
                <w:szCs w:val="9"/>
              </w:rPr>
              <w:t>&lt;0.03</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0,66</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2,67</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5,20</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0,18</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0,49</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98,90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455</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123"/>
            </w:pPr>
            <w:r>
              <w:rPr>
                <w:rFonts w:ascii="Arial" w:hAnsi="Arial" w:cs="Arial"/>
                <w:w w:val="105"/>
                <w:sz w:val="9"/>
                <w:szCs w:val="9"/>
              </w:rPr>
              <w:t>50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12</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47</w:t>
            </w:r>
          </w:p>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105</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4"/>
        </w:trPr>
        <w:tc>
          <w:tcPr>
            <w:tcW w:w="921" w:type="dxa"/>
            <w:tcBorders>
              <w:top w:val="nil"/>
              <w:left w:val="nil"/>
              <w:bottom w:val="nil"/>
              <w:right w:val="nil"/>
            </w:tcBorders>
          </w:tcPr>
          <w:p w:rsidR="00DF26C1" w:rsidRDefault="00DF26C1" w:rsidP="007B6DBD">
            <w:pPr>
              <w:pStyle w:val="TableParagraph"/>
              <w:kinsoku w:val="0"/>
              <w:overflowPunct w:val="0"/>
              <w:ind w:left="23"/>
            </w:pPr>
            <w:r>
              <w:rPr>
                <w:rFonts w:ascii="Arial" w:hAnsi="Arial" w:cs="Arial"/>
                <w:w w:val="105"/>
                <w:sz w:val="9"/>
                <w:szCs w:val="9"/>
              </w:rPr>
              <w:t>Malaga</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ind w:left="16"/>
            </w:pPr>
            <w:r>
              <w:rPr>
                <w:rFonts w:ascii="Arial" w:hAnsi="Arial" w:cs="Arial"/>
                <w:w w:val="105"/>
                <w:sz w:val="9"/>
                <w:szCs w:val="9"/>
              </w:rPr>
              <w:t>bas.</w:t>
            </w:r>
            <w:r>
              <w:rPr>
                <w:rFonts w:ascii="Arial" w:hAnsi="Arial" w:cs="Arial"/>
                <w:spacing w:val="17"/>
                <w:w w:val="105"/>
                <w:sz w:val="9"/>
                <w:szCs w:val="9"/>
              </w:rPr>
              <w:t xml:space="preserve"> </w:t>
            </w: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pPr>
              <w:pStyle w:val="TableParagraph"/>
              <w:kinsoku w:val="0"/>
              <w:overflowPunct w:val="0"/>
              <w:ind w:left="16"/>
              <w:jc w:val="center"/>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ind w:left="6"/>
            </w:pPr>
            <w:r>
              <w:rPr>
                <w:rFonts w:ascii="Arial" w:hAnsi="Arial" w:cs="Arial"/>
                <w:w w:val="105"/>
                <w:sz w:val="9"/>
                <w:szCs w:val="9"/>
              </w:rPr>
              <w:t>FG22;</w:t>
            </w:r>
            <w:r>
              <w:rPr>
                <w:rFonts w:ascii="Arial" w:hAnsi="Arial" w:cs="Arial"/>
                <w:spacing w:val="-2"/>
                <w:w w:val="105"/>
                <w:sz w:val="9"/>
                <w:szCs w:val="9"/>
              </w:rPr>
              <w:t xml:space="preserve"> </w:t>
            </w:r>
            <w:r>
              <w:rPr>
                <w:rFonts w:ascii="Arial" w:hAnsi="Arial" w:cs="Arial"/>
                <w:w w:val="105"/>
                <w:sz w:val="9"/>
                <w:szCs w:val="9"/>
              </w:rPr>
              <w:t>0599-2</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ind w:left="112"/>
            </w:pPr>
            <w:r>
              <w:rPr>
                <w:rFonts w:ascii="Arial" w:hAnsi="Arial" w:cs="Arial"/>
                <w:w w:val="105"/>
                <w:sz w:val="9"/>
                <w:szCs w:val="9"/>
              </w:rPr>
              <w:t>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ind w:left="84"/>
            </w:pPr>
            <w:r>
              <w:rPr>
                <w:rFonts w:ascii="Arial" w:hAnsi="Arial" w:cs="Arial"/>
                <w:w w:val="105"/>
                <w:sz w:val="9"/>
                <w:szCs w:val="9"/>
              </w:rPr>
              <w:t>53,1</w:t>
            </w:r>
          </w:p>
        </w:tc>
        <w:tc>
          <w:tcPr>
            <w:tcW w:w="293"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0,47</w:t>
            </w:r>
          </w:p>
        </w:tc>
        <w:tc>
          <w:tcPr>
            <w:tcW w:w="308" w:type="dxa"/>
            <w:tcBorders>
              <w:top w:val="nil"/>
              <w:left w:val="nil"/>
              <w:bottom w:val="nil"/>
              <w:right w:val="nil"/>
            </w:tcBorders>
          </w:tcPr>
          <w:p w:rsidR="00DF26C1" w:rsidRDefault="00DF26C1" w:rsidP="007B6DBD">
            <w:pPr>
              <w:pStyle w:val="TableParagraph"/>
              <w:kinsoku w:val="0"/>
              <w:overflowPunct w:val="0"/>
              <w:ind w:left="57"/>
            </w:pPr>
            <w:r>
              <w:rPr>
                <w:rFonts w:ascii="Arial" w:hAnsi="Arial" w:cs="Arial"/>
                <w:w w:val="105"/>
                <w:sz w:val="9"/>
                <w:szCs w:val="9"/>
              </w:rPr>
              <w:t>16,50</w:t>
            </w:r>
          </w:p>
        </w:tc>
        <w:tc>
          <w:tcPr>
            <w:tcW w:w="353" w:type="dxa"/>
            <w:tcBorders>
              <w:top w:val="nil"/>
              <w:left w:val="nil"/>
              <w:bottom w:val="nil"/>
              <w:right w:val="nil"/>
            </w:tcBorders>
          </w:tcPr>
          <w:p w:rsidR="00DF26C1" w:rsidRDefault="00DF26C1" w:rsidP="007B6DBD">
            <w:pPr>
              <w:pStyle w:val="TableParagraph"/>
              <w:kinsoku w:val="0"/>
              <w:overflowPunct w:val="0"/>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5.54</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ind w:left="28"/>
            </w:pPr>
            <w:r>
              <w:rPr>
                <w:rFonts w:ascii="Arial" w:hAnsi="Arial" w:cs="Arial"/>
                <w:w w:val="105"/>
                <w:sz w:val="9"/>
                <w:szCs w:val="9"/>
              </w:rPr>
              <w:t>0,10</w:t>
            </w:r>
          </w:p>
        </w:tc>
        <w:tc>
          <w:tcPr>
            <w:tcW w:w="269"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9,09</w:t>
            </w:r>
          </w:p>
        </w:tc>
        <w:tc>
          <w:tcPr>
            <w:tcW w:w="261" w:type="dxa"/>
            <w:tcBorders>
              <w:top w:val="nil"/>
              <w:left w:val="nil"/>
              <w:bottom w:val="nil"/>
              <w:right w:val="nil"/>
            </w:tcBorders>
          </w:tcPr>
          <w:p w:rsidR="00DF26C1" w:rsidRDefault="00DF26C1" w:rsidP="007B6DBD">
            <w:pPr>
              <w:pStyle w:val="TableParagraph"/>
              <w:kinsoku w:val="0"/>
              <w:overflowPunct w:val="0"/>
              <w:ind w:left="56"/>
            </w:pPr>
            <w:r>
              <w:rPr>
                <w:rFonts w:ascii="Arial" w:hAnsi="Arial" w:cs="Arial"/>
                <w:w w:val="105"/>
                <w:sz w:val="9"/>
                <w:szCs w:val="9"/>
              </w:rPr>
              <w:t>10,3</w:t>
            </w:r>
          </w:p>
        </w:tc>
        <w:tc>
          <w:tcPr>
            <w:tcW w:w="278"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1,76</w:t>
            </w:r>
          </w:p>
        </w:tc>
        <w:tc>
          <w:tcPr>
            <w:tcW w:w="237" w:type="dxa"/>
            <w:tcBorders>
              <w:top w:val="nil"/>
              <w:left w:val="nil"/>
              <w:bottom w:val="nil"/>
              <w:right w:val="nil"/>
            </w:tcBorders>
          </w:tcPr>
          <w:p w:rsidR="00DF26C1" w:rsidRDefault="00DF26C1" w:rsidP="007B6DBD">
            <w:pPr>
              <w:pStyle w:val="TableParagraph"/>
              <w:kinsoku w:val="0"/>
              <w:overflowPunct w:val="0"/>
              <w:ind w:left="26"/>
            </w:pPr>
            <w:r>
              <w:rPr>
                <w:rFonts w:ascii="Arial" w:hAnsi="Arial" w:cs="Arial"/>
                <w:w w:val="105"/>
                <w:sz w:val="9"/>
                <w:szCs w:val="9"/>
              </w:rPr>
              <w:t>0,94</w:t>
            </w:r>
          </w:p>
        </w:tc>
        <w:tc>
          <w:tcPr>
            <w:tcW w:w="296"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0,07</w:t>
            </w:r>
          </w:p>
        </w:tc>
        <w:tc>
          <w:tcPr>
            <w:tcW w:w="274" w:type="dxa"/>
            <w:tcBorders>
              <w:top w:val="nil"/>
              <w:left w:val="nil"/>
              <w:bottom w:val="nil"/>
              <w:right w:val="nil"/>
            </w:tcBorders>
          </w:tcPr>
          <w:p w:rsidR="00DF26C1" w:rsidRDefault="00DF26C1" w:rsidP="007B6DBD">
            <w:pPr>
              <w:pStyle w:val="TableParagraph"/>
              <w:kinsoku w:val="0"/>
              <w:overflowPunct w:val="0"/>
              <w:ind w:left="64"/>
            </w:pPr>
            <w:r>
              <w:rPr>
                <w:rFonts w:ascii="Arial" w:hAnsi="Arial" w:cs="Arial"/>
                <w:w w:val="105"/>
                <w:sz w:val="9"/>
                <w:szCs w:val="9"/>
              </w:rPr>
              <w:t>1,68</w:t>
            </w:r>
          </w:p>
        </w:tc>
        <w:tc>
          <w:tcPr>
            <w:tcW w:w="350"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99,50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ind w:left="86"/>
            </w:pPr>
            <w:r>
              <w:rPr>
                <w:rFonts w:ascii="Arial" w:hAnsi="Arial" w:cs="Arial"/>
                <w:w w:val="105"/>
                <w:sz w:val="9"/>
                <w:szCs w:val="9"/>
              </w:rPr>
              <w:t>60</w:t>
            </w:r>
          </w:p>
        </w:tc>
        <w:tc>
          <w:tcPr>
            <w:tcW w:w="253" w:type="dxa"/>
            <w:tcBorders>
              <w:top w:val="nil"/>
              <w:left w:val="nil"/>
              <w:bottom w:val="nil"/>
              <w:right w:val="nil"/>
            </w:tcBorders>
          </w:tcPr>
          <w:p w:rsidR="00DF26C1" w:rsidRDefault="00DF26C1" w:rsidP="007B6DBD">
            <w:pPr>
              <w:pStyle w:val="TableParagraph"/>
              <w:kinsoku w:val="0"/>
              <w:overflowPunct w:val="0"/>
              <w:ind w:left="70"/>
            </w:pPr>
            <w:r>
              <w:rPr>
                <w:rFonts w:ascii="Arial" w:hAnsi="Arial" w:cs="Arial"/>
                <w:w w:val="105"/>
                <w:sz w:val="9"/>
                <w:szCs w:val="9"/>
              </w:rPr>
              <w:t>196</w:t>
            </w:r>
          </w:p>
        </w:tc>
        <w:tc>
          <w:tcPr>
            <w:tcW w:w="245" w:type="dxa"/>
            <w:tcBorders>
              <w:top w:val="nil"/>
              <w:left w:val="nil"/>
              <w:bottom w:val="nil"/>
              <w:right w:val="nil"/>
            </w:tcBorders>
          </w:tcPr>
          <w:p w:rsidR="00DF26C1" w:rsidRDefault="00DF26C1" w:rsidP="007B6DBD">
            <w:pPr>
              <w:pStyle w:val="TableParagraph"/>
              <w:kinsoku w:val="0"/>
              <w:overflowPunct w:val="0"/>
              <w:ind w:left="115"/>
            </w:pPr>
            <w:r>
              <w:rPr>
                <w:rFonts w:ascii="Arial" w:hAnsi="Arial" w:cs="Arial"/>
                <w:w w:val="105"/>
                <w:sz w:val="9"/>
                <w:szCs w:val="9"/>
              </w:rPr>
              <w:t>35</w:t>
            </w:r>
          </w:p>
        </w:tc>
        <w:tc>
          <w:tcPr>
            <w:tcW w:w="259" w:type="dxa"/>
            <w:tcBorders>
              <w:top w:val="nil"/>
              <w:left w:val="nil"/>
              <w:bottom w:val="nil"/>
              <w:right w:val="nil"/>
            </w:tcBorders>
          </w:tcPr>
          <w:p w:rsidR="00DF26C1" w:rsidRDefault="00DF26C1" w:rsidP="007B6DBD">
            <w:pPr>
              <w:pStyle w:val="TableParagraph"/>
              <w:kinsoku w:val="0"/>
              <w:overflowPunct w:val="0"/>
              <w:ind w:left="129"/>
            </w:pPr>
            <w:r>
              <w:rPr>
                <w:rFonts w:ascii="Arial" w:hAnsi="Arial" w:cs="Arial"/>
                <w:w w:val="105"/>
                <w:sz w:val="9"/>
                <w:szCs w:val="9"/>
              </w:rPr>
              <w:t>62</w:t>
            </w:r>
          </w:p>
        </w:tc>
        <w:tc>
          <w:tcPr>
            <w:tcW w:w="223" w:type="dxa"/>
            <w:tcBorders>
              <w:top w:val="nil"/>
              <w:left w:val="nil"/>
              <w:bottom w:val="nil"/>
              <w:right w:val="nil"/>
            </w:tcBorders>
          </w:tcPr>
          <w:p w:rsidR="00DF26C1" w:rsidRDefault="00DF26C1" w:rsidP="007B6DBD">
            <w:pPr>
              <w:pStyle w:val="TableParagraph"/>
              <w:kinsoku w:val="0"/>
              <w:overflowPunct w:val="0"/>
              <w:ind w:left="63"/>
            </w:pPr>
            <w:r>
              <w:rPr>
                <w:rFonts w:ascii="Arial" w:hAnsi="Arial" w:cs="Arial"/>
                <w:w w:val="105"/>
                <w:sz w:val="9"/>
                <w:szCs w:val="9"/>
              </w:rPr>
              <w:t>11</w:t>
            </w:r>
          </w:p>
        </w:tc>
        <w:tc>
          <w:tcPr>
            <w:tcW w:w="281" w:type="dxa"/>
            <w:tcBorders>
              <w:top w:val="nil"/>
              <w:left w:val="nil"/>
              <w:bottom w:val="nil"/>
              <w:right w:val="nil"/>
            </w:tcBorders>
          </w:tcPr>
          <w:p w:rsidR="00DF26C1" w:rsidRDefault="00DF26C1" w:rsidP="007B6DBD">
            <w:pPr>
              <w:pStyle w:val="TableParagraph"/>
              <w:kinsoku w:val="0"/>
              <w:overflowPunct w:val="0"/>
              <w:ind w:left="99"/>
            </w:pPr>
            <w:r>
              <w:rPr>
                <w:rFonts w:ascii="Arial" w:hAnsi="Arial" w:cs="Arial"/>
                <w:w w:val="105"/>
                <w:sz w:val="9"/>
                <w:szCs w:val="9"/>
              </w:rPr>
              <w:t>113</w:t>
            </w:r>
          </w:p>
        </w:tc>
        <w:tc>
          <w:tcPr>
            <w:tcW w:w="231" w:type="dxa"/>
            <w:tcBorders>
              <w:top w:val="nil"/>
              <w:left w:val="nil"/>
              <w:bottom w:val="nil"/>
              <w:right w:val="nil"/>
            </w:tcBorders>
          </w:tcPr>
          <w:p w:rsidR="00DF26C1" w:rsidRDefault="00DF26C1" w:rsidP="007B6DBD">
            <w:pPr>
              <w:pStyle w:val="TableParagraph"/>
              <w:kinsoku w:val="0"/>
              <w:overflowPunct w:val="0"/>
              <w:ind w:left="101"/>
            </w:pPr>
            <w:r>
              <w:rPr>
                <w:rFonts w:ascii="Arial" w:hAnsi="Arial" w:cs="Arial"/>
                <w:w w:val="105"/>
                <w:sz w:val="9"/>
                <w:szCs w:val="9"/>
              </w:rPr>
              <w:t>13</w:t>
            </w:r>
          </w:p>
        </w:tc>
        <w:tc>
          <w:tcPr>
            <w:tcW w:w="255"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34</w:t>
            </w:r>
          </w:p>
        </w:tc>
        <w:tc>
          <w:tcPr>
            <w:tcW w:w="302"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71,9</w:t>
            </w:r>
          </w:p>
        </w:tc>
        <w:tc>
          <w:tcPr>
            <w:tcW w:w="259" w:type="dxa"/>
            <w:tcBorders>
              <w:top w:val="nil"/>
              <w:left w:val="nil"/>
              <w:bottom w:val="nil"/>
              <w:right w:val="nil"/>
            </w:tcBorders>
          </w:tcPr>
          <w:p w:rsidR="00DF26C1" w:rsidRDefault="00DF26C1" w:rsidP="007B6DBD">
            <w:pPr>
              <w:pStyle w:val="TableParagraph"/>
              <w:kinsoku w:val="0"/>
              <w:overflowPunct w:val="0"/>
              <w:ind w:left="49"/>
            </w:pPr>
            <w:r>
              <w:rPr>
                <w:rFonts w:ascii="Arial" w:hAnsi="Arial" w:cs="Arial"/>
                <w:w w:val="105"/>
                <w:sz w:val="9"/>
                <w:szCs w:val="9"/>
              </w:rPr>
              <w:t>31,7</w:t>
            </w:r>
          </w:p>
        </w:tc>
        <w:tc>
          <w:tcPr>
            <w:tcW w:w="293" w:type="dxa"/>
            <w:gridSpan w:val="2"/>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6,88</w:t>
            </w:r>
          </w:p>
        </w:tc>
        <w:tc>
          <w:tcPr>
            <w:tcW w:w="250"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0,9</w:t>
            </w:r>
          </w:p>
        </w:tc>
        <w:tc>
          <w:tcPr>
            <w:tcW w:w="248" w:type="dxa"/>
            <w:tcBorders>
              <w:top w:val="nil"/>
              <w:left w:val="nil"/>
              <w:bottom w:val="nil"/>
              <w:right w:val="nil"/>
            </w:tcBorders>
          </w:tcPr>
          <w:p w:rsidR="00DF26C1" w:rsidRDefault="00DF26C1" w:rsidP="007B6DBD">
            <w:pPr>
              <w:pStyle w:val="TableParagraph"/>
              <w:kinsoku w:val="0"/>
              <w:overflowPunct w:val="0"/>
              <w:ind w:left="93"/>
            </w:pPr>
            <w:r>
              <w:rPr>
                <w:rFonts w:ascii="Arial" w:hAnsi="Arial" w:cs="Arial"/>
                <w:w w:val="105"/>
                <w:sz w:val="9"/>
                <w:szCs w:val="9"/>
              </w:rPr>
              <w:t>6,2</w:t>
            </w:r>
          </w:p>
        </w:tc>
        <w:tc>
          <w:tcPr>
            <w:tcW w:w="232" w:type="dxa"/>
            <w:tcBorders>
              <w:top w:val="nil"/>
              <w:left w:val="nil"/>
              <w:bottom w:val="nil"/>
              <w:right w:val="nil"/>
            </w:tcBorders>
          </w:tcPr>
          <w:p w:rsidR="00DF26C1" w:rsidRDefault="00DF26C1" w:rsidP="007B6DBD">
            <w:pPr>
              <w:pStyle w:val="TableParagraph"/>
              <w:kinsoku w:val="0"/>
              <w:overflowPunct w:val="0"/>
              <w:ind w:left="75"/>
            </w:pPr>
            <w:r>
              <w:rPr>
                <w:rFonts w:ascii="Arial" w:hAnsi="Arial" w:cs="Arial"/>
                <w:w w:val="105"/>
                <w:sz w:val="9"/>
                <w:szCs w:val="9"/>
              </w:rPr>
              <w:t>5,9</w:t>
            </w:r>
          </w:p>
        </w:tc>
        <w:tc>
          <w:tcPr>
            <w:tcW w:w="264"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2,69</w:t>
            </w:r>
          </w:p>
        </w:tc>
        <w:tc>
          <w:tcPr>
            <w:tcW w:w="225" w:type="dxa"/>
            <w:gridSpan w:val="2"/>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105</w:t>
            </w:r>
          </w:p>
        </w:tc>
        <w:tc>
          <w:tcPr>
            <w:tcW w:w="225" w:type="dxa"/>
            <w:tcBorders>
              <w:top w:val="nil"/>
              <w:left w:val="nil"/>
              <w:bottom w:val="nil"/>
              <w:right w:val="nil"/>
            </w:tcBorders>
          </w:tcPr>
          <w:p w:rsidR="00DF26C1" w:rsidRDefault="00DF26C1" w:rsidP="007B6DBD">
            <w:pPr>
              <w:pStyle w:val="TableParagraph"/>
              <w:kinsoku w:val="0"/>
              <w:overflowPunct w:val="0"/>
              <w:ind w:left="40"/>
            </w:pPr>
            <w:r>
              <w:rPr>
                <w:rFonts w:ascii="Arial" w:hAnsi="Arial" w:cs="Arial"/>
                <w:w w:val="105"/>
                <w:sz w:val="9"/>
                <w:szCs w:val="9"/>
              </w:rPr>
              <w:t>470</w:t>
            </w:r>
          </w:p>
        </w:tc>
        <w:tc>
          <w:tcPr>
            <w:tcW w:w="625" w:type="dxa"/>
            <w:tcBorders>
              <w:top w:val="nil"/>
              <w:left w:val="nil"/>
              <w:bottom w:val="nil"/>
              <w:right w:val="nil"/>
            </w:tcBorders>
          </w:tcPr>
          <w:p w:rsidR="00DF26C1" w:rsidRDefault="00DF26C1" w:rsidP="007B6DBD">
            <w:pPr>
              <w:pStyle w:val="TableParagraph"/>
              <w:kinsoku w:val="0"/>
              <w:overflowPunct w:val="0"/>
              <w:ind w:left="255"/>
            </w:pPr>
            <w:r>
              <w:rPr>
                <w:rFonts w:ascii="Arial" w:hAnsi="Arial" w:cs="Arial"/>
                <w:w w:val="105"/>
                <w:sz w:val="9"/>
                <w:szCs w:val="9"/>
              </w:rPr>
              <w:t>0,71410</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ind w:left="245"/>
            </w:pPr>
            <w:r>
              <w:rPr>
                <w:rFonts w:ascii="Arial" w:hAnsi="Arial" w:cs="Arial"/>
                <w:w w:val="105"/>
                <w:sz w:val="9"/>
                <w:szCs w:val="9"/>
              </w:rPr>
              <w:t>0,51222</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Mar</w:t>
            </w:r>
            <w:r>
              <w:rPr>
                <w:rFonts w:ascii="Arial" w:hAnsi="Arial" w:cs="Arial"/>
                <w:spacing w:val="-4"/>
                <w:w w:val="105"/>
                <w:sz w:val="9"/>
                <w:szCs w:val="9"/>
              </w:rPr>
              <w:t xml:space="preserve"> </w:t>
            </w:r>
            <w:r>
              <w:rPr>
                <w:rFonts w:ascii="Arial" w:hAnsi="Arial" w:cs="Arial"/>
                <w:w w:val="105"/>
                <w:sz w:val="9"/>
                <w:szCs w:val="9"/>
              </w:rPr>
              <w:t>Menor</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17</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dacite,</w:t>
            </w:r>
          </w:p>
        </w:tc>
        <w:tc>
          <w:tcPr>
            <w:tcW w:w="1062" w:type="dxa"/>
            <w:gridSpan w:val="2"/>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cordierite</w:t>
            </w:r>
            <w:r>
              <w:rPr>
                <w:rFonts w:ascii="Arial" w:hAnsi="Arial" w:cs="Arial"/>
                <w:spacing w:val="-7"/>
                <w:w w:val="105"/>
                <w:sz w:val="9"/>
                <w:szCs w:val="9"/>
              </w:rPr>
              <w:t xml:space="preserve"> </w:t>
            </w:r>
            <w:r>
              <w:rPr>
                <w:rFonts w:ascii="Arial" w:hAnsi="Arial" w:cs="Arial"/>
                <w:w w:val="105"/>
                <w:sz w:val="9"/>
                <w:szCs w:val="9"/>
              </w:rPr>
              <w:t>bear.</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MM2703</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60,90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0,64</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15,70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5.42</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0,08</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4,75</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4,96</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1,61</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2,24</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0,15</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2,25</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98,70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127</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162</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23</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133</w:t>
            </w:r>
          </w:p>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331</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50</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251</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0,71725</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18,776</w:t>
            </w:r>
          </w:p>
        </w:tc>
        <w:tc>
          <w:tcPr>
            <w:tcW w:w="358" w:type="dxa"/>
            <w:tcBorders>
              <w:top w:val="nil"/>
              <w:left w:val="nil"/>
              <w:bottom w:val="nil"/>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15,677</w:t>
            </w:r>
          </w:p>
        </w:tc>
        <w:tc>
          <w:tcPr>
            <w:tcW w:w="347"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38,951</w:t>
            </w:r>
          </w:p>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Mazarron</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28</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basalt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B302</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25</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163"/>
            </w:pPr>
            <w:r>
              <w:rPr>
                <w:rFonts w:ascii="Arial" w:hAnsi="Arial" w:cs="Arial"/>
                <w:w w:val="105"/>
                <w:sz w:val="9"/>
                <w:szCs w:val="9"/>
              </w:rPr>
              <w:t>52</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1,75</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12,80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8"/>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14.50</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4,6</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8,38</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3,72</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0,8</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0,24</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1,00</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99,89</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45"/>
            </w:pPr>
            <w:r>
              <w:rPr>
                <w:rFonts w:ascii="Arial" w:hAnsi="Arial" w:cs="Arial"/>
                <w:w w:val="105"/>
                <w:sz w:val="9"/>
                <w:szCs w:val="9"/>
              </w:rPr>
              <w:t>28,3</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305</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36</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15,5</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10</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46"/>
            </w:pPr>
            <w:r>
              <w:rPr>
                <w:rFonts w:ascii="Arial" w:hAnsi="Arial" w:cs="Arial"/>
                <w:w w:val="105"/>
                <w:sz w:val="9"/>
                <w:szCs w:val="9"/>
              </w:rPr>
              <w:t>1172</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2,8</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18</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39,0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23,6</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5,81</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1,8</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6,7</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3,3</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3,02</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41</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14</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0,70874</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0,51238</w:t>
            </w:r>
          </w:p>
        </w:tc>
        <w:tc>
          <w:tcPr>
            <w:tcW w:w="359"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18,750</w:t>
            </w:r>
          </w:p>
        </w:tc>
        <w:tc>
          <w:tcPr>
            <w:tcW w:w="358" w:type="dxa"/>
            <w:tcBorders>
              <w:top w:val="nil"/>
              <w:left w:val="nil"/>
              <w:bottom w:val="nil"/>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15,641</w:t>
            </w:r>
          </w:p>
        </w:tc>
        <w:tc>
          <w:tcPr>
            <w:tcW w:w="347"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38,822</w:t>
            </w:r>
          </w:p>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Mazarron</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latite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shoshonite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MAZ</w:t>
            </w:r>
            <w:r>
              <w:rPr>
                <w:rFonts w:ascii="Arial" w:hAnsi="Arial" w:cs="Arial"/>
                <w:spacing w:val="1"/>
                <w:w w:val="105"/>
                <w:sz w:val="9"/>
                <w:szCs w:val="9"/>
              </w:rPr>
              <w:t xml:space="preserve"> </w:t>
            </w:r>
            <w:r>
              <w:rPr>
                <w:rFonts w:ascii="Arial" w:hAnsi="Arial" w:cs="Arial"/>
                <w:w w:val="105"/>
                <w:sz w:val="9"/>
                <w:szCs w:val="9"/>
              </w:rPr>
              <w:t>8</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23</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64,2</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0,63</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16,22</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0,81</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3,26</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1,6</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2,57</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2,25</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4,4</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0,42</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3,39</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99,80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227</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581</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31</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260</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33</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46"/>
            </w:pPr>
            <w:r>
              <w:rPr>
                <w:rFonts w:ascii="Arial" w:hAnsi="Arial" w:cs="Arial"/>
                <w:w w:val="105"/>
                <w:sz w:val="9"/>
                <w:szCs w:val="9"/>
              </w:rPr>
              <w:t>1310</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01"/>
            </w:pPr>
            <w:r>
              <w:rPr>
                <w:rFonts w:ascii="Arial" w:hAnsi="Arial" w:cs="Arial"/>
                <w:w w:val="105"/>
                <w:sz w:val="9"/>
                <w:szCs w:val="9"/>
              </w:rPr>
              <w:t>64</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64</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19"/>
            </w:pPr>
            <w:r>
              <w:rPr>
                <w:rFonts w:ascii="Arial" w:hAnsi="Arial" w:cs="Arial"/>
                <w:w w:val="105"/>
                <w:sz w:val="9"/>
                <w:szCs w:val="9"/>
              </w:rPr>
              <w:t>137</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68,2</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12,4</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2,3</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2,13</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49</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138</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0,71768</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Cabo de</w:t>
            </w:r>
            <w:r>
              <w:rPr>
                <w:rFonts w:ascii="Arial" w:hAnsi="Arial" w:cs="Arial"/>
                <w:spacing w:val="3"/>
                <w:w w:val="105"/>
                <w:sz w:val="9"/>
                <w:szCs w:val="9"/>
              </w:rPr>
              <w:t xml:space="preserve"> </w:t>
            </w:r>
            <w:r>
              <w:rPr>
                <w:rFonts w:ascii="Arial" w:hAnsi="Arial" w:cs="Arial"/>
                <w:w w:val="105"/>
                <w:sz w:val="9"/>
                <w:szCs w:val="9"/>
              </w:rPr>
              <w:t>Gata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27</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133"/>
            </w:pPr>
            <w:r>
              <w:rPr>
                <w:rFonts w:ascii="Arial" w:hAnsi="Arial" w:cs="Arial"/>
                <w:w w:val="105"/>
                <w:sz w:val="9"/>
                <w:szCs w:val="9"/>
              </w:rPr>
              <w:t>breccia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CG200;</w:t>
            </w:r>
            <w:r>
              <w:rPr>
                <w:rFonts w:ascii="Arial" w:hAnsi="Arial" w:cs="Arial"/>
                <w:spacing w:val="2"/>
                <w:w w:val="105"/>
                <w:sz w:val="9"/>
                <w:szCs w:val="9"/>
              </w:rPr>
              <w:t xml:space="preserve"> </w:t>
            </w:r>
            <w:r>
              <w:rPr>
                <w:rFonts w:ascii="Arial" w:hAnsi="Arial" w:cs="Arial"/>
                <w:w w:val="105"/>
                <w:sz w:val="9"/>
                <w:szCs w:val="9"/>
              </w:rPr>
              <w:t>599</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26</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57,2</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0,63</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15,80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7.47</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0,15</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5,77</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9,21</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1,87</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0,94</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0,11</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0,83</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99,90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46</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185</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19</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76</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4,1</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134</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3,32</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11,1</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23,5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12,4</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2,98</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0,73</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3,03</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3,18</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1,83</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20</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111</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55"/>
            </w:pPr>
            <w:r>
              <w:rPr>
                <w:rFonts w:ascii="Arial" w:hAnsi="Arial" w:cs="Arial"/>
                <w:w w:val="105"/>
                <w:sz w:val="9"/>
                <w:szCs w:val="9"/>
              </w:rPr>
              <w:t>0,71347</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4"/>
              <w:ind w:left="245"/>
            </w:pPr>
            <w:r>
              <w:rPr>
                <w:rFonts w:ascii="Arial" w:hAnsi="Arial" w:cs="Arial"/>
                <w:w w:val="105"/>
                <w:sz w:val="9"/>
                <w:szCs w:val="9"/>
              </w:rPr>
              <w:t>0,51250</w:t>
            </w:r>
          </w:p>
        </w:tc>
        <w:tc>
          <w:tcPr>
            <w:tcW w:w="359"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18,757</w:t>
            </w:r>
          </w:p>
        </w:tc>
        <w:tc>
          <w:tcPr>
            <w:tcW w:w="358" w:type="dxa"/>
            <w:tcBorders>
              <w:top w:val="nil"/>
              <w:left w:val="nil"/>
              <w:bottom w:val="nil"/>
              <w:right w:val="nil"/>
            </w:tcBorders>
          </w:tcPr>
          <w:p w:rsidR="00DF26C1" w:rsidRDefault="00DF26C1" w:rsidP="007B6DBD">
            <w:pPr>
              <w:pStyle w:val="TableParagraph"/>
              <w:kinsoku w:val="0"/>
              <w:overflowPunct w:val="0"/>
              <w:spacing w:before="4"/>
              <w:ind w:left="50"/>
            </w:pPr>
            <w:r>
              <w:rPr>
                <w:rFonts w:ascii="Arial" w:hAnsi="Arial" w:cs="Arial"/>
                <w:w w:val="105"/>
                <w:sz w:val="9"/>
                <w:szCs w:val="9"/>
              </w:rPr>
              <w:t>15,662</w:t>
            </w:r>
          </w:p>
        </w:tc>
        <w:tc>
          <w:tcPr>
            <w:tcW w:w="347" w:type="dxa"/>
            <w:tcBorders>
              <w:top w:val="nil"/>
              <w:left w:val="nil"/>
              <w:bottom w:val="nil"/>
              <w:right w:val="nil"/>
            </w:tcBorders>
          </w:tcPr>
          <w:p w:rsidR="00DF26C1" w:rsidRDefault="00DF26C1" w:rsidP="007B6DBD">
            <w:pPr>
              <w:pStyle w:val="TableParagraph"/>
              <w:kinsoku w:val="0"/>
              <w:overflowPunct w:val="0"/>
              <w:spacing w:before="4"/>
              <w:ind w:left="29"/>
            </w:pPr>
            <w:r>
              <w:rPr>
                <w:rFonts w:ascii="Arial" w:hAnsi="Arial" w:cs="Arial"/>
                <w:w w:val="105"/>
                <w:sz w:val="9"/>
                <w:szCs w:val="9"/>
              </w:rPr>
              <w:t>38,928</w:t>
            </w:r>
          </w:p>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Cabo de</w:t>
            </w:r>
            <w:r>
              <w:rPr>
                <w:rFonts w:ascii="Arial" w:hAnsi="Arial" w:cs="Arial"/>
                <w:spacing w:val="3"/>
                <w:w w:val="105"/>
                <w:sz w:val="9"/>
                <w:szCs w:val="9"/>
              </w:rPr>
              <w:t xml:space="preserve"> </w:t>
            </w:r>
            <w:r>
              <w:rPr>
                <w:rFonts w:ascii="Arial" w:hAnsi="Arial" w:cs="Arial"/>
                <w:w w:val="105"/>
                <w:sz w:val="9"/>
                <w:szCs w:val="9"/>
              </w:rPr>
              <w:t>Gata</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w:t>
            </w:r>
            <w:r>
              <w:rPr>
                <w:rFonts w:ascii="Arial" w:hAnsi="Arial" w:cs="Arial"/>
                <w:spacing w:val="-9"/>
                <w:w w:val="105"/>
                <w:sz w:val="9"/>
                <w:szCs w:val="9"/>
              </w:rPr>
              <w:t xml:space="preserve"> </w:t>
            </w: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pyroxene</w:t>
            </w:r>
            <w:r>
              <w:rPr>
                <w:rFonts w:ascii="Arial" w:hAnsi="Arial" w:cs="Arial"/>
                <w:spacing w:val="-9"/>
                <w:w w:val="105"/>
                <w:sz w:val="9"/>
                <w:szCs w:val="9"/>
              </w:rPr>
              <w:t xml:space="preserve"> </w:t>
            </w:r>
            <w:r>
              <w:rPr>
                <w:rFonts w:ascii="Arial" w:hAnsi="Arial" w:cs="Arial"/>
                <w:w w:val="105"/>
                <w:sz w:val="9"/>
                <w:szCs w:val="9"/>
              </w:rPr>
              <w:t>be</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Sp317</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54,7</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0,73</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18,25</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4,49</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4,20</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4,9</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8,9</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2,14</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0,8</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0,15</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0,61</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29</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310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56</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5</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334</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54"/>
            </w:pPr>
            <w:r>
              <w:rPr>
                <w:rFonts w:ascii="Arial" w:hAnsi="Arial" w:cs="Arial"/>
                <w:w w:val="106"/>
                <w:sz w:val="9"/>
                <w:szCs w:val="9"/>
              </w:rPr>
              <w:t>2</w:t>
            </w:r>
          </w:p>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41"/>
            </w:pPr>
            <w:r>
              <w:rPr>
                <w:rFonts w:ascii="Arial" w:hAnsi="Arial" w:cs="Arial"/>
                <w:w w:val="106"/>
                <w:sz w:val="9"/>
                <w:szCs w:val="9"/>
              </w:rPr>
              <w:t>6</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22</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Cabo de</w:t>
            </w:r>
            <w:r>
              <w:rPr>
                <w:rFonts w:ascii="Arial" w:hAnsi="Arial" w:cs="Arial"/>
                <w:spacing w:val="3"/>
                <w:w w:val="105"/>
                <w:sz w:val="9"/>
                <w:szCs w:val="9"/>
              </w:rPr>
              <w:t xml:space="preserve"> </w:t>
            </w:r>
            <w:r>
              <w:rPr>
                <w:rFonts w:ascii="Arial" w:hAnsi="Arial" w:cs="Arial"/>
                <w:w w:val="105"/>
                <w:sz w:val="9"/>
                <w:szCs w:val="9"/>
              </w:rPr>
              <w:t>Gata</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amphibole</w:t>
            </w:r>
            <w:r>
              <w:rPr>
                <w:rFonts w:ascii="Arial" w:hAnsi="Arial" w:cs="Arial"/>
                <w:spacing w:val="-5"/>
                <w:w w:val="105"/>
                <w:sz w:val="9"/>
                <w:szCs w:val="9"/>
              </w:rPr>
              <w:t xml:space="preserve"> </w:t>
            </w:r>
            <w:r>
              <w:rPr>
                <w:rFonts w:ascii="Arial" w:hAnsi="Arial" w:cs="Arial"/>
                <w:w w:val="105"/>
                <w:sz w:val="9"/>
                <w:szCs w:val="9"/>
              </w:rPr>
              <w:t>b</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Sp333</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62,1</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0,63</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17,76</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2,51</w:t>
            </w:r>
          </w:p>
        </w:tc>
        <w:tc>
          <w:tcPr>
            <w:tcW w:w="234" w:type="dxa"/>
            <w:tcBorders>
              <w:top w:val="nil"/>
              <w:left w:val="nil"/>
              <w:bottom w:val="nil"/>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0,80</w:t>
            </w:r>
          </w:p>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1,4</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3,54</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3,76</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5,4</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0,17</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1,91</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195</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230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145</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7</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473</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54"/>
            </w:pPr>
            <w:r>
              <w:rPr>
                <w:rFonts w:ascii="Arial" w:hAnsi="Arial" w:cs="Arial"/>
                <w:w w:val="106"/>
                <w:sz w:val="9"/>
                <w:szCs w:val="9"/>
              </w:rPr>
              <w:t>8</w:t>
            </w:r>
          </w:p>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6"/>
        </w:trPr>
        <w:tc>
          <w:tcPr>
            <w:tcW w:w="921" w:type="dxa"/>
            <w:tcBorders>
              <w:top w:val="nil"/>
              <w:left w:val="nil"/>
              <w:bottom w:val="single" w:sz="2" w:space="0" w:color="000000"/>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Cabo de</w:t>
            </w:r>
            <w:r>
              <w:rPr>
                <w:rFonts w:ascii="Arial" w:hAnsi="Arial" w:cs="Arial"/>
                <w:spacing w:val="3"/>
                <w:w w:val="105"/>
                <w:sz w:val="9"/>
                <w:szCs w:val="9"/>
              </w:rPr>
              <w:t xml:space="preserve"> </w:t>
            </w:r>
            <w:r>
              <w:rPr>
                <w:rFonts w:ascii="Arial" w:hAnsi="Arial" w:cs="Arial"/>
                <w:w w:val="105"/>
                <w:sz w:val="9"/>
                <w:szCs w:val="9"/>
              </w:rPr>
              <w:t>Gata</w:t>
            </w:r>
          </w:p>
        </w:tc>
        <w:tc>
          <w:tcPr>
            <w:tcW w:w="503" w:type="dxa"/>
            <w:tcBorders>
              <w:top w:val="nil"/>
              <w:left w:val="nil"/>
              <w:bottom w:val="single" w:sz="2" w:space="0" w:color="000000"/>
              <w:right w:val="nil"/>
            </w:tcBorders>
          </w:tcPr>
          <w:p w:rsidR="00DF26C1" w:rsidRDefault="00DF26C1" w:rsidP="007B6DBD"/>
        </w:tc>
        <w:tc>
          <w:tcPr>
            <w:tcW w:w="624" w:type="dxa"/>
            <w:tcBorders>
              <w:top w:val="nil"/>
              <w:left w:val="nil"/>
              <w:bottom w:val="single" w:sz="2" w:space="0" w:color="000000"/>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dacite</w:t>
            </w:r>
          </w:p>
        </w:tc>
        <w:tc>
          <w:tcPr>
            <w:tcW w:w="559" w:type="dxa"/>
            <w:tcBorders>
              <w:top w:val="nil"/>
              <w:left w:val="nil"/>
              <w:bottom w:val="single" w:sz="2" w:space="0" w:color="000000"/>
              <w:right w:val="nil"/>
            </w:tcBorders>
          </w:tcPr>
          <w:p w:rsidR="00DF26C1" w:rsidRDefault="00DF26C1" w:rsidP="007B6DBD"/>
        </w:tc>
        <w:tc>
          <w:tcPr>
            <w:tcW w:w="503" w:type="dxa"/>
            <w:tcBorders>
              <w:top w:val="nil"/>
              <w:left w:val="nil"/>
              <w:bottom w:val="single" w:sz="2" w:space="0" w:color="000000"/>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hK-CA</w:t>
            </w:r>
          </w:p>
        </w:tc>
        <w:tc>
          <w:tcPr>
            <w:tcW w:w="611" w:type="dxa"/>
            <w:tcBorders>
              <w:top w:val="nil"/>
              <w:left w:val="nil"/>
              <w:bottom w:val="single" w:sz="2" w:space="0" w:color="000000"/>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Sp253</w:t>
            </w:r>
          </w:p>
        </w:tc>
        <w:tc>
          <w:tcPr>
            <w:tcW w:w="437" w:type="dxa"/>
            <w:tcBorders>
              <w:top w:val="nil"/>
              <w:left w:val="nil"/>
              <w:bottom w:val="single" w:sz="2" w:space="0" w:color="000000"/>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single" w:sz="2" w:space="0" w:color="000000"/>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22</w:t>
            </w:r>
          </w:p>
        </w:tc>
        <w:tc>
          <w:tcPr>
            <w:tcW w:w="262" w:type="dxa"/>
            <w:tcBorders>
              <w:top w:val="nil"/>
              <w:left w:val="nil"/>
              <w:bottom w:val="single" w:sz="2" w:space="0" w:color="000000"/>
              <w:right w:val="nil"/>
            </w:tcBorders>
          </w:tcPr>
          <w:p w:rsidR="00DF26C1" w:rsidRDefault="00DF26C1" w:rsidP="007B6DBD"/>
        </w:tc>
        <w:tc>
          <w:tcPr>
            <w:tcW w:w="294" w:type="dxa"/>
            <w:tcBorders>
              <w:top w:val="nil"/>
              <w:left w:val="nil"/>
              <w:bottom w:val="single" w:sz="2" w:space="0" w:color="000000"/>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65,4</w:t>
            </w:r>
          </w:p>
        </w:tc>
        <w:tc>
          <w:tcPr>
            <w:tcW w:w="293" w:type="dxa"/>
            <w:tcBorders>
              <w:top w:val="nil"/>
              <w:left w:val="nil"/>
              <w:bottom w:val="single" w:sz="2" w:space="0" w:color="000000"/>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0,55</w:t>
            </w:r>
          </w:p>
        </w:tc>
        <w:tc>
          <w:tcPr>
            <w:tcW w:w="308" w:type="dxa"/>
            <w:tcBorders>
              <w:top w:val="nil"/>
              <w:left w:val="nil"/>
              <w:bottom w:val="single" w:sz="2" w:space="0" w:color="000000"/>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15,86</w:t>
            </w:r>
          </w:p>
        </w:tc>
        <w:tc>
          <w:tcPr>
            <w:tcW w:w="353" w:type="dxa"/>
            <w:tcBorders>
              <w:top w:val="nil"/>
              <w:left w:val="nil"/>
              <w:bottom w:val="single" w:sz="2" w:space="0" w:color="000000"/>
              <w:right w:val="nil"/>
            </w:tcBorders>
          </w:tcPr>
          <w:p w:rsidR="00DF26C1" w:rsidRDefault="00DF26C1" w:rsidP="007B6DBD">
            <w:pPr>
              <w:pStyle w:val="TableParagraph"/>
              <w:kinsoku w:val="0"/>
              <w:overflowPunct w:val="0"/>
              <w:spacing w:before="4"/>
              <w:ind w:left="140"/>
            </w:pPr>
            <w:r>
              <w:rPr>
                <w:rFonts w:ascii="Arial" w:hAnsi="Arial" w:cs="Arial"/>
                <w:w w:val="105"/>
                <w:sz w:val="9"/>
                <w:szCs w:val="9"/>
              </w:rPr>
              <w:t>2,22</w:t>
            </w:r>
          </w:p>
        </w:tc>
        <w:tc>
          <w:tcPr>
            <w:tcW w:w="234" w:type="dxa"/>
            <w:tcBorders>
              <w:top w:val="nil"/>
              <w:left w:val="nil"/>
              <w:bottom w:val="single" w:sz="2" w:space="0" w:color="000000"/>
              <w:right w:val="nil"/>
            </w:tcBorders>
          </w:tcPr>
          <w:p w:rsidR="00DF26C1" w:rsidRDefault="00DF26C1" w:rsidP="007B6DBD">
            <w:pPr>
              <w:pStyle w:val="TableParagraph"/>
              <w:kinsoku w:val="0"/>
              <w:overflowPunct w:val="0"/>
              <w:spacing w:before="4"/>
              <w:ind w:left="17"/>
            </w:pPr>
            <w:r>
              <w:rPr>
                <w:rFonts w:ascii="Arial" w:hAnsi="Arial" w:cs="Arial"/>
                <w:w w:val="105"/>
                <w:sz w:val="9"/>
                <w:szCs w:val="9"/>
              </w:rPr>
              <w:t>1,31</w:t>
            </w:r>
          </w:p>
        </w:tc>
        <w:tc>
          <w:tcPr>
            <w:tcW w:w="224" w:type="dxa"/>
            <w:tcBorders>
              <w:top w:val="nil"/>
              <w:left w:val="nil"/>
              <w:bottom w:val="single" w:sz="2" w:space="0" w:color="000000"/>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w:t>
            </w:r>
          </w:p>
        </w:tc>
        <w:tc>
          <w:tcPr>
            <w:tcW w:w="269" w:type="dxa"/>
            <w:tcBorders>
              <w:top w:val="nil"/>
              <w:left w:val="nil"/>
              <w:bottom w:val="single" w:sz="2" w:space="0" w:color="000000"/>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1,5</w:t>
            </w:r>
          </w:p>
        </w:tc>
        <w:tc>
          <w:tcPr>
            <w:tcW w:w="261" w:type="dxa"/>
            <w:tcBorders>
              <w:top w:val="nil"/>
              <w:left w:val="nil"/>
              <w:bottom w:val="single" w:sz="2" w:space="0" w:color="000000"/>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1,03</w:t>
            </w:r>
          </w:p>
        </w:tc>
        <w:tc>
          <w:tcPr>
            <w:tcW w:w="278" w:type="dxa"/>
            <w:tcBorders>
              <w:top w:val="nil"/>
              <w:left w:val="nil"/>
              <w:bottom w:val="single" w:sz="2" w:space="0" w:color="000000"/>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1,78</w:t>
            </w:r>
          </w:p>
        </w:tc>
        <w:tc>
          <w:tcPr>
            <w:tcW w:w="237" w:type="dxa"/>
            <w:tcBorders>
              <w:top w:val="nil"/>
              <w:left w:val="nil"/>
              <w:bottom w:val="single" w:sz="2" w:space="0" w:color="000000"/>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8,1</w:t>
            </w:r>
          </w:p>
        </w:tc>
        <w:tc>
          <w:tcPr>
            <w:tcW w:w="296" w:type="dxa"/>
            <w:tcBorders>
              <w:top w:val="nil"/>
              <w:left w:val="nil"/>
              <w:bottom w:val="single" w:sz="2" w:space="0" w:color="000000"/>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0,13</w:t>
            </w:r>
          </w:p>
        </w:tc>
        <w:tc>
          <w:tcPr>
            <w:tcW w:w="274" w:type="dxa"/>
            <w:tcBorders>
              <w:top w:val="nil"/>
              <w:left w:val="nil"/>
              <w:bottom w:val="single" w:sz="2" w:space="0" w:color="000000"/>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1,86</w:t>
            </w:r>
          </w:p>
        </w:tc>
        <w:tc>
          <w:tcPr>
            <w:tcW w:w="350" w:type="dxa"/>
            <w:tcBorders>
              <w:top w:val="nil"/>
              <w:left w:val="nil"/>
              <w:bottom w:val="single" w:sz="2" w:space="0" w:color="000000"/>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100,00</w:t>
            </w:r>
          </w:p>
        </w:tc>
        <w:tc>
          <w:tcPr>
            <w:tcW w:w="259" w:type="dxa"/>
            <w:tcBorders>
              <w:top w:val="nil"/>
              <w:left w:val="nil"/>
              <w:bottom w:val="single" w:sz="2" w:space="0" w:color="000000"/>
              <w:right w:val="nil"/>
            </w:tcBorders>
          </w:tcPr>
          <w:p w:rsidR="00DF26C1" w:rsidRDefault="00DF26C1" w:rsidP="007B6DBD"/>
        </w:tc>
        <w:tc>
          <w:tcPr>
            <w:tcW w:w="270" w:type="dxa"/>
            <w:tcBorders>
              <w:top w:val="nil"/>
              <w:left w:val="nil"/>
              <w:bottom w:val="single" w:sz="2" w:space="0" w:color="000000"/>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352</w:t>
            </w:r>
          </w:p>
        </w:tc>
        <w:tc>
          <w:tcPr>
            <w:tcW w:w="253" w:type="dxa"/>
            <w:tcBorders>
              <w:top w:val="nil"/>
              <w:left w:val="nil"/>
              <w:bottom w:val="single" w:sz="2" w:space="0" w:color="000000"/>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108</w:t>
            </w:r>
          </w:p>
        </w:tc>
        <w:tc>
          <w:tcPr>
            <w:tcW w:w="245" w:type="dxa"/>
            <w:tcBorders>
              <w:top w:val="nil"/>
              <w:left w:val="nil"/>
              <w:bottom w:val="single" w:sz="2" w:space="0" w:color="000000"/>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32</w:t>
            </w:r>
          </w:p>
        </w:tc>
        <w:tc>
          <w:tcPr>
            <w:tcW w:w="259" w:type="dxa"/>
            <w:tcBorders>
              <w:top w:val="nil"/>
              <w:left w:val="nil"/>
              <w:bottom w:val="single" w:sz="2" w:space="0" w:color="000000"/>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190</w:t>
            </w:r>
          </w:p>
        </w:tc>
        <w:tc>
          <w:tcPr>
            <w:tcW w:w="223" w:type="dxa"/>
            <w:tcBorders>
              <w:top w:val="nil"/>
              <w:left w:val="nil"/>
              <w:bottom w:val="single" w:sz="2" w:space="0" w:color="000000"/>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9</w:t>
            </w:r>
          </w:p>
        </w:tc>
        <w:tc>
          <w:tcPr>
            <w:tcW w:w="281" w:type="dxa"/>
            <w:tcBorders>
              <w:top w:val="nil"/>
              <w:left w:val="nil"/>
              <w:bottom w:val="single" w:sz="2" w:space="0" w:color="000000"/>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383</w:t>
            </w:r>
          </w:p>
        </w:tc>
        <w:tc>
          <w:tcPr>
            <w:tcW w:w="231" w:type="dxa"/>
            <w:tcBorders>
              <w:top w:val="nil"/>
              <w:left w:val="nil"/>
              <w:bottom w:val="single" w:sz="2" w:space="0" w:color="000000"/>
              <w:right w:val="nil"/>
            </w:tcBorders>
          </w:tcPr>
          <w:p w:rsidR="00DF26C1" w:rsidRDefault="00DF26C1" w:rsidP="007B6DBD">
            <w:pPr>
              <w:pStyle w:val="TableParagraph"/>
              <w:kinsoku w:val="0"/>
              <w:overflowPunct w:val="0"/>
              <w:spacing w:before="4"/>
              <w:ind w:left="154"/>
            </w:pPr>
            <w:r>
              <w:rPr>
                <w:rFonts w:ascii="Arial" w:hAnsi="Arial" w:cs="Arial"/>
                <w:w w:val="106"/>
                <w:sz w:val="9"/>
                <w:szCs w:val="9"/>
              </w:rPr>
              <w:t>9</w:t>
            </w:r>
          </w:p>
        </w:tc>
        <w:tc>
          <w:tcPr>
            <w:tcW w:w="255" w:type="dxa"/>
            <w:tcBorders>
              <w:top w:val="nil"/>
              <w:left w:val="nil"/>
              <w:bottom w:val="single" w:sz="2" w:space="0" w:color="000000"/>
              <w:right w:val="nil"/>
            </w:tcBorders>
          </w:tcPr>
          <w:p w:rsidR="00DF26C1" w:rsidRDefault="00DF26C1" w:rsidP="007B6DBD"/>
        </w:tc>
        <w:tc>
          <w:tcPr>
            <w:tcW w:w="302" w:type="dxa"/>
            <w:tcBorders>
              <w:top w:val="nil"/>
              <w:left w:val="nil"/>
              <w:bottom w:val="single" w:sz="2" w:space="0" w:color="000000"/>
              <w:right w:val="nil"/>
            </w:tcBorders>
          </w:tcPr>
          <w:p w:rsidR="00DF26C1" w:rsidRDefault="00DF26C1" w:rsidP="007B6DBD"/>
        </w:tc>
        <w:tc>
          <w:tcPr>
            <w:tcW w:w="259" w:type="dxa"/>
            <w:tcBorders>
              <w:top w:val="nil"/>
              <w:left w:val="nil"/>
              <w:bottom w:val="single" w:sz="2" w:space="0" w:color="000000"/>
              <w:right w:val="nil"/>
            </w:tcBorders>
          </w:tcPr>
          <w:p w:rsidR="00DF26C1" w:rsidRDefault="00DF26C1" w:rsidP="007B6DBD"/>
        </w:tc>
        <w:tc>
          <w:tcPr>
            <w:tcW w:w="147" w:type="dxa"/>
            <w:tcBorders>
              <w:top w:val="nil"/>
              <w:left w:val="nil"/>
              <w:bottom w:val="single" w:sz="2" w:space="0" w:color="000000"/>
              <w:right w:val="nil"/>
            </w:tcBorders>
          </w:tcPr>
          <w:p w:rsidR="00DF26C1" w:rsidRDefault="00DF26C1" w:rsidP="007B6DBD"/>
        </w:tc>
        <w:tc>
          <w:tcPr>
            <w:tcW w:w="146" w:type="dxa"/>
            <w:tcBorders>
              <w:top w:val="nil"/>
              <w:left w:val="nil"/>
              <w:bottom w:val="single" w:sz="2" w:space="0" w:color="000000"/>
              <w:right w:val="nil"/>
            </w:tcBorders>
          </w:tcPr>
          <w:p w:rsidR="00DF26C1" w:rsidRDefault="00DF26C1" w:rsidP="007B6DBD"/>
        </w:tc>
        <w:tc>
          <w:tcPr>
            <w:tcW w:w="250" w:type="dxa"/>
            <w:tcBorders>
              <w:top w:val="nil"/>
              <w:left w:val="nil"/>
              <w:bottom w:val="single" w:sz="2" w:space="0" w:color="000000"/>
              <w:right w:val="nil"/>
            </w:tcBorders>
          </w:tcPr>
          <w:p w:rsidR="00DF26C1" w:rsidRDefault="00DF26C1" w:rsidP="007B6DBD"/>
        </w:tc>
        <w:tc>
          <w:tcPr>
            <w:tcW w:w="248" w:type="dxa"/>
            <w:tcBorders>
              <w:top w:val="nil"/>
              <w:left w:val="nil"/>
              <w:bottom w:val="single" w:sz="2" w:space="0" w:color="000000"/>
              <w:right w:val="nil"/>
            </w:tcBorders>
          </w:tcPr>
          <w:p w:rsidR="00DF26C1" w:rsidRDefault="00DF26C1" w:rsidP="007B6DBD"/>
        </w:tc>
        <w:tc>
          <w:tcPr>
            <w:tcW w:w="232" w:type="dxa"/>
            <w:tcBorders>
              <w:top w:val="nil"/>
              <w:left w:val="nil"/>
              <w:bottom w:val="single" w:sz="2" w:space="0" w:color="000000"/>
              <w:right w:val="nil"/>
            </w:tcBorders>
          </w:tcPr>
          <w:p w:rsidR="00DF26C1" w:rsidRDefault="00DF26C1" w:rsidP="007B6DBD"/>
        </w:tc>
        <w:tc>
          <w:tcPr>
            <w:tcW w:w="264" w:type="dxa"/>
            <w:tcBorders>
              <w:top w:val="nil"/>
              <w:left w:val="nil"/>
              <w:bottom w:val="single" w:sz="2" w:space="0" w:color="000000"/>
              <w:right w:val="nil"/>
            </w:tcBorders>
          </w:tcPr>
          <w:p w:rsidR="00DF26C1" w:rsidRDefault="00DF26C1" w:rsidP="007B6DBD"/>
        </w:tc>
        <w:tc>
          <w:tcPr>
            <w:tcW w:w="118" w:type="dxa"/>
            <w:tcBorders>
              <w:top w:val="nil"/>
              <w:left w:val="nil"/>
              <w:bottom w:val="single" w:sz="2" w:space="0" w:color="000000"/>
              <w:right w:val="nil"/>
            </w:tcBorders>
          </w:tcPr>
          <w:p w:rsidR="00DF26C1" w:rsidRDefault="00DF26C1" w:rsidP="007B6DBD"/>
        </w:tc>
        <w:tc>
          <w:tcPr>
            <w:tcW w:w="107" w:type="dxa"/>
            <w:tcBorders>
              <w:top w:val="nil"/>
              <w:left w:val="nil"/>
              <w:bottom w:val="single" w:sz="2" w:space="0" w:color="000000"/>
              <w:right w:val="nil"/>
            </w:tcBorders>
          </w:tcPr>
          <w:p w:rsidR="00DF26C1" w:rsidRDefault="00DF26C1" w:rsidP="007B6DBD">
            <w:pPr>
              <w:pStyle w:val="TableParagraph"/>
              <w:kinsoku w:val="0"/>
              <w:overflowPunct w:val="0"/>
              <w:spacing w:before="4"/>
              <w:ind w:left="41"/>
            </w:pPr>
            <w:r>
              <w:rPr>
                <w:rFonts w:ascii="Arial" w:hAnsi="Arial" w:cs="Arial"/>
                <w:w w:val="106"/>
                <w:sz w:val="9"/>
                <w:szCs w:val="9"/>
              </w:rPr>
              <w:t>3</w:t>
            </w:r>
          </w:p>
        </w:tc>
        <w:tc>
          <w:tcPr>
            <w:tcW w:w="225" w:type="dxa"/>
            <w:tcBorders>
              <w:top w:val="nil"/>
              <w:left w:val="nil"/>
              <w:bottom w:val="single" w:sz="2" w:space="0" w:color="000000"/>
              <w:right w:val="nil"/>
            </w:tcBorders>
          </w:tcPr>
          <w:p w:rsidR="00DF26C1" w:rsidRDefault="00DF26C1" w:rsidP="007B6DBD">
            <w:pPr>
              <w:pStyle w:val="TableParagraph"/>
              <w:kinsoku w:val="0"/>
              <w:overflowPunct w:val="0"/>
              <w:spacing w:before="4"/>
              <w:ind w:left="145"/>
            </w:pPr>
            <w:r>
              <w:rPr>
                <w:rFonts w:ascii="Arial" w:hAnsi="Arial" w:cs="Arial"/>
                <w:w w:val="106"/>
                <w:sz w:val="9"/>
                <w:szCs w:val="9"/>
              </w:rPr>
              <w:t>6</w:t>
            </w:r>
          </w:p>
        </w:tc>
        <w:tc>
          <w:tcPr>
            <w:tcW w:w="625" w:type="dxa"/>
            <w:tcBorders>
              <w:top w:val="nil"/>
              <w:left w:val="nil"/>
              <w:bottom w:val="single" w:sz="2" w:space="0" w:color="000000"/>
              <w:right w:val="nil"/>
            </w:tcBorders>
          </w:tcPr>
          <w:p w:rsidR="00DF26C1" w:rsidRDefault="00DF26C1" w:rsidP="007B6DBD"/>
        </w:tc>
        <w:tc>
          <w:tcPr>
            <w:tcW w:w="573" w:type="dxa"/>
            <w:tcBorders>
              <w:top w:val="nil"/>
              <w:left w:val="nil"/>
              <w:bottom w:val="single" w:sz="2" w:space="0" w:color="000000"/>
              <w:right w:val="nil"/>
            </w:tcBorders>
          </w:tcPr>
          <w:p w:rsidR="00DF26C1" w:rsidRDefault="00DF26C1" w:rsidP="007B6DBD"/>
        </w:tc>
        <w:tc>
          <w:tcPr>
            <w:tcW w:w="607" w:type="dxa"/>
            <w:tcBorders>
              <w:top w:val="nil"/>
              <w:left w:val="nil"/>
              <w:bottom w:val="single" w:sz="2" w:space="0" w:color="000000"/>
              <w:right w:val="nil"/>
            </w:tcBorders>
          </w:tcPr>
          <w:p w:rsidR="00DF26C1" w:rsidRDefault="00DF26C1" w:rsidP="007B6DBD"/>
        </w:tc>
        <w:tc>
          <w:tcPr>
            <w:tcW w:w="359" w:type="dxa"/>
            <w:tcBorders>
              <w:top w:val="nil"/>
              <w:left w:val="nil"/>
              <w:bottom w:val="single" w:sz="2" w:space="0" w:color="000000"/>
              <w:right w:val="nil"/>
            </w:tcBorders>
          </w:tcPr>
          <w:p w:rsidR="00DF26C1" w:rsidRDefault="00DF26C1" w:rsidP="007B6DBD"/>
        </w:tc>
        <w:tc>
          <w:tcPr>
            <w:tcW w:w="358" w:type="dxa"/>
            <w:tcBorders>
              <w:top w:val="nil"/>
              <w:left w:val="nil"/>
              <w:bottom w:val="single" w:sz="2" w:space="0" w:color="000000"/>
              <w:right w:val="nil"/>
            </w:tcBorders>
          </w:tcPr>
          <w:p w:rsidR="00DF26C1" w:rsidRDefault="00DF26C1" w:rsidP="007B6DBD"/>
        </w:tc>
        <w:tc>
          <w:tcPr>
            <w:tcW w:w="347" w:type="dxa"/>
            <w:tcBorders>
              <w:top w:val="nil"/>
              <w:left w:val="nil"/>
              <w:bottom w:val="single" w:sz="2" w:space="0" w:color="000000"/>
              <w:right w:val="nil"/>
            </w:tcBorders>
          </w:tcPr>
          <w:p w:rsidR="00DF26C1" w:rsidRDefault="00DF26C1" w:rsidP="007B6DBD"/>
        </w:tc>
      </w:tr>
      <w:tr w:rsidR="00DF26C1" w:rsidTr="007B6DBD">
        <w:trPr>
          <w:trHeight w:hRule="exact" w:val="127"/>
        </w:trPr>
        <w:tc>
          <w:tcPr>
            <w:tcW w:w="15854" w:type="dxa"/>
            <w:gridSpan w:val="48"/>
            <w:tcBorders>
              <w:top w:val="single" w:sz="2" w:space="0" w:color="000000"/>
              <w:left w:val="nil"/>
              <w:bottom w:val="nil"/>
              <w:right w:val="nil"/>
            </w:tcBorders>
          </w:tcPr>
          <w:p w:rsidR="00DF26C1" w:rsidRDefault="00DF26C1" w:rsidP="007B6DBD">
            <w:pPr>
              <w:pStyle w:val="TableParagraph"/>
              <w:kinsoku w:val="0"/>
              <w:overflowPunct w:val="0"/>
              <w:spacing w:before="6"/>
              <w:ind w:left="23"/>
            </w:pPr>
            <w:r>
              <w:rPr>
                <w:rFonts w:ascii="Arial" w:hAnsi="Arial" w:cs="Arial"/>
                <w:b/>
                <w:bCs/>
                <w:w w:val="105"/>
                <w:sz w:val="9"/>
                <w:szCs w:val="9"/>
              </w:rPr>
              <w:t>African segment of</w:t>
            </w:r>
            <w:r>
              <w:rPr>
                <w:rFonts w:ascii="Arial" w:hAnsi="Arial" w:cs="Arial"/>
                <w:b/>
                <w:bCs/>
                <w:spacing w:val="-15"/>
                <w:w w:val="105"/>
                <w:sz w:val="9"/>
                <w:szCs w:val="9"/>
              </w:rPr>
              <w:t xml:space="preserve"> </w:t>
            </w:r>
            <w:r>
              <w:rPr>
                <w:rFonts w:ascii="Arial" w:hAnsi="Arial" w:cs="Arial"/>
                <w:b/>
                <w:bCs/>
                <w:w w:val="105"/>
                <w:sz w:val="9"/>
                <w:szCs w:val="9"/>
              </w:rPr>
              <w:t>OAA</w:t>
            </w:r>
          </w:p>
        </w:tc>
      </w:tr>
      <w:tr w:rsidR="00DF26C1" w:rsidTr="007B6DBD">
        <w:trPr>
          <w:trHeight w:hRule="exact" w:val="122"/>
        </w:trPr>
        <w:tc>
          <w:tcPr>
            <w:tcW w:w="15854" w:type="dxa"/>
            <w:gridSpan w:val="48"/>
            <w:tcBorders>
              <w:top w:val="nil"/>
              <w:left w:val="nil"/>
              <w:bottom w:val="nil"/>
              <w:right w:val="nil"/>
            </w:tcBorders>
          </w:tcPr>
          <w:p w:rsidR="00DF26C1" w:rsidRDefault="00DF26C1" w:rsidP="007B6DBD">
            <w:pPr>
              <w:pStyle w:val="TableParagraph"/>
              <w:kinsoku w:val="0"/>
              <w:overflowPunct w:val="0"/>
              <w:spacing w:before="7"/>
              <w:ind w:left="23"/>
            </w:pPr>
            <w:r>
              <w:rPr>
                <w:rFonts w:ascii="Arial" w:hAnsi="Arial" w:cs="Arial"/>
                <w:w w:val="105"/>
                <w:sz w:val="9"/>
                <w:szCs w:val="9"/>
                <w:u w:val="single"/>
              </w:rPr>
              <w:t>Morocco, Rif</w:t>
            </w:r>
          </w:p>
        </w:tc>
      </w:tr>
      <w:tr w:rsidR="00DF26C1" w:rsidTr="007B6DBD">
        <w:trPr>
          <w:trHeight w:hRule="exact" w:val="119"/>
        </w:trPr>
        <w:tc>
          <w:tcPr>
            <w:tcW w:w="921" w:type="dxa"/>
            <w:tcBorders>
              <w:top w:val="nil"/>
              <w:left w:val="nil"/>
              <w:bottom w:val="nil"/>
              <w:right w:val="nil"/>
            </w:tcBorders>
          </w:tcPr>
          <w:p w:rsidR="00DF26C1" w:rsidRDefault="00DF26C1" w:rsidP="007B6DBD">
            <w:pPr>
              <w:pStyle w:val="TableParagraph"/>
              <w:kinsoku w:val="0"/>
              <w:overflowPunct w:val="0"/>
              <w:spacing w:before="5"/>
              <w:ind w:left="23"/>
            </w:pPr>
            <w:r>
              <w:rPr>
                <w:rFonts w:ascii="Arial" w:hAnsi="Arial" w:cs="Arial"/>
                <w:w w:val="105"/>
                <w:sz w:val="9"/>
                <w:szCs w:val="9"/>
              </w:rPr>
              <w:t>Ras</w:t>
            </w:r>
            <w:r>
              <w:rPr>
                <w:rFonts w:ascii="Arial" w:hAnsi="Arial" w:cs="Arial"/>
                <w:spacing w:val="-2"/>
                <w:w w:val="105"/>
                <w:sz w:val="9"/>
                <w:szCs w:val="9"/>
              </w:rPr>
              <w:t xml:space="preserve"> </w:t>
            </w:r>
            <w:r>
              <w:rPr>
                <w:rFonts w:ascii="Arial" w:hAnsi="Arial" w:cs="Arial"/>
                <w:w w:val="105"/>
                <w:sz w:val="9"/>
                <w:szCs w:val="9"/>
              </w:rPr>
              <w:t>Tarf</w:t>
            </w:r>
          </w:p>
        </w:tc>
        <w:tc>
          <w:tcPr>
            <w:tcW w:w="503" w:type="dxa"/>
            <w:tcBorders>
              <w:top w:val="nil"/>
              <w:left w:val="nil"/>
              <w:bottom w:val="nil"/>
              <w:right w:val="nil"/>
            </w:tcBorders>
          </w:tcPr>
          <w:p w:rsidR="00DF26C1" w:rsidRDefault="00DF26C1" w:rsidP="007B6DBD">
            <w:pPr>
              <w:pStyle w:val="TableParagraph"/>
              <w:kinsoku w:val="0"/>
              <w:overflowPunct w:val="0"/>
              <w:spacing w:before="5"/>
              <w:ind w:left="17"/>
              <w:jc w:val="center"/>
            </w:pPr>
            <w:r>
              <w:rPr>
                <w:rFonts w:ascii="Arial" w:hAnsi="Arial" w:cs="Arial"/>
                <w:w w:val="105"/>
                <w:sz w:val="9"/>
                <w:szCs w:val="9"/>
              </w:rPr>
              <w:t>29</w:t>
            </w:r>
          </w:p>
        </w:tc>
        <w:tc>
          <w:tcPr>
            <w:tcW w:w="624" w:type="dxa"/>
            <w:tcBorders>
              <w:top w:val="nil"/>
              <w:left w:val="nil"/>
              <w:bottom w:val="nil"/>
              <w:right w:val="nil"/>
            </w:tcBorders>
          </w:tcPr>
          <w:p w:rsidR="00DF26C1" w:rsidRDefault="00DF26C1" w:rsidP="007B6DBD">
            <w:pPr>
              <w:pStyle w:val="TableParagraph"/>
              <w:kinsoku w:val="0"/>
              <w:overflowPunct w:val="0"/>
              <w:spacing w:before="5"/>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5"/>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5"/>
              <w:ind w:left="6"/>
            </w:pPr>
            <w:r>
              <w:rPr>
                <w:rFonts w:ascii="Arial" w:hAnsi="Arial" w:cs="Arial"/>
                <w:w w:val="105"/>
                <w:sz w:val="9"/>
                <w:szCs w:val="9"/>
              </w:rPr>
              <w:t>116-72</w:t>
            </w:r>
          </w:p>
        </w:tc>
        <w:tc>
          <w:tcPr>
            <w:tcW w:w="437" w:type="dxa"/>
            <w:tcBorders>
              <w:top w:val="nil"/>
              <w:left w:val="nil"/>
              <w:bottom w:val="nil"/>
              <w:right w:val="nil"/>
            </w:tcBorders>
          </w:tcPr>
          <w:p w:rsidR="00DF26C1" w:rsidRDefault="00DF26C1" w:rsidP="007B6DBD">
            <w:pPr>
              <w:pStyle w:val="TableParagraph"/>
              <w:kinsoku w:val="0"/>
              <w:overflowPunct w:val="0"/>
              <w:spacing w:before="5"/>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5"/>
              <w:ind w:left="112"/>
            </w:pPr>
            <w:r>
              <w:rPr>
                <w:rFonts w:ascii="Arial" w:hAnsi="Arial" w:cs="Arial"/>
                <w:w w:val="105"/>
                <w:sz w:val="9"/>
                <w:szCs w:val="9"/>
              </w:rPr>
              <w:t>31</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5"/>
              <w:ind w:left="31"/>
            </w:pPr>
            <w:r>
              <w:rPr>
                <w:rFonts w:ascii="Arial" w:hAnsi="Arial" w:cs="Arial"/>
                <w:w w:val="105"/>
                <w:sz w:val="9"/>
                <w:szCs w:val="9"/>
              </w:rPr>
              <w:t>57,60</w:t>
            </w:r>
          </w:p>
        </w:tc>
        <w:tc>
          <w:tcPr>
            <w:tcW w:w="293" w:type="dxa"/>
            <w:tcBorders>
              <w:top w:val="nil"/>
              <w:left w:val="nil"/>
              <w:bottom w:val="nil"/>
              <w:right w:val="nil"/>
            </w:tcBorders>
          </w:tcPr>
          <w:p w:rsidR="00DF26C1" w:rsidRDefault="00DF26C1" w:rsidP="007B6DBD">
            <w:pPr>
              <w:pStyle w:val="TableParagraph"/>
              <w:kinsoku w:val="0"/>
              <w:overflowPunct w:val="0"/>
              <w:spacing w:before="5"/>
              <w:ind w:left="83"/>
            </w:pPr>
            <w:r>
              <w:rPr>
                <w:rFonts w:ascii="Arial" w:hAnsi="Arial" w:cs="Arial"/>
                <w:w w:val="105"/>
                <w:sz w:val="9"/>
                <w:szCs w:val="9"/>
              </w:rPr>
              <w:t>0,65</w:t>
            </w:r>
          </w:p>
        </w:tc>
        <w:tc>
          <w:tcPr>
            <w:tcW w:w="308" w:type="dxa"/>
            <w:tcBorders>
              <w:top w:val="nil"/>
              <w:left w:val="nil"/>
              <w:bottom w:val="nil"/>
              <w:right w:val="nil"/>
            </w:tcBorders>
          </w:tcPr>
          <w:p w:rsidR="00DF26C1" w:rsidRDefault="00DF26C1" w:rsidP="007B6DBD">
            <w:pPr>
              <w:pStyle w:val="TableParagraph"/>
              <w:kinsoku w:val="0"/>
              <w:overflowPunct w:val="0"/>
              <w:spacing w:before="5"/>
              <w:ind w:left="109"/>
            </w:pPr>
            <w:r>
              <w:rPr>
                <w:rFonts w:ascii="Arial" w:hAnsi="Arial" w:cs="Arial"/>
                <w:w w:val="105"/>
                <w:sz w:val="9"/>
                <w:szCs w:val="9"/>
              </w:rPr>
              <w:t>16,4</w:t>
            </w:r>
          </w:p>
        </w:tc>
        <w:tc>
          <w:tcPr>
            <w:tcW w:w="353" w:type="dxa"/>
            <w:tcBorders>
              <w:top w:val="nil"/>
              <w:left w:val="nil"/>
              <w:bottom w:val="nil"/>
              <w:right w:val="nil"/>
            </w:tcBorders>
          </w:tcPr>
          <w:p w:rsidR="00DF26C1" w:rsidRDefault="00DF26C1" w:rsidP="007B6DBD">
            <w:pPr>
              <w:pStyle w:val="TableParagraph"/>
              <w:kinsoku w:val="0"/>
              <w:overflowPunct w:val="0"/>
              <w:spacing w:before="5"/>
              <w:ind w:left="113"/>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7.2</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5"/>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spacing w:before="5"/>
              <w:ind w:left="107"/>
            </w:pPr>
            <w:r>
              <w:rPr>
                <w:rFonts w:ascii="Arial" w:hAnsi="Arial" w:cs="Arial"/>
                <w:w w:val="105"/>
                <w:sz w:val="9"/>
                <w:szCs w:val="9"/>
              </w:rPr>
              <w:t>4,7</w:t>
            </w:r>
          </w:p>
        </w:tc>
        <w:tc>
          <w:tcPr>
            <w:tcW w:w="261" w:type="dxa"/>
            <w:tcBorders>
              <w:top w:val="nil"/>
              <w:left w:val="nil"/>
              <w:bottom w:val="nil"/>
              <w:right w:val="nil"/>
            </w:tcBorders>
          </w:tcPr>
          <w:p w:rsidR="00DF26C1" w:rsidRDefault="00DF26C1" w:rsidP="007B6DBD">
            <w:pPr>
              <w:pStyle w:val="TableParagraph"/>
              <w:kinsoku w:val="0"/>
              <w:overflowPunct w:val="0"/>
              <w:spacing w:before="5"/>
              <w:ind w:left="56"/>
            </w:pPr>
            <w:r>
              <w:rPr>
                <w:rFonts w:ascii="Arial" w:hAnsi="Arial" w:cs="Arial"/>
                <w:w w:val="105"/>
                <w:sz w:val="9"/>
                <w:szCs w:val="9"/>
              </w:rPr>
              <w:t>8,03</w:t>
            </w:r>
          </w:p>
        </w:tc>
        <w:tc>
          <w:tcPr>
            <w:tcW w:w="278" w:type="dxa"/>
            <w:tcBorders>
              <w:top w:val="nil"/>
              <w:left w:val="nil"/>
              <w:bottom w:val="nil"/>
              <w:right w:val="nil"/>
            </w:tcBorders>
          </w:tcPr>
          <w:p w:rsidR="00DF26C1" w:rsidRDefault="00DF26C1" w:rsidP="007B6DBD">
            <w:pPr>
              <w:pStyle w:val="TableParagraph"/>
              <w:kinsoku w:val="0"/>
              <w:overflowPunct w:val="0"/>
              <w:spacing w:before="5"/>
              <w:ind w:left="54"/>
            </w:pPr>
            <w:r>
              <w:rPr>
                <w:rFonts w:ascii="Arial" w:hAnsi="Arial" w:cs="Arial"/>
                <w:w w:val="105"/>
                <w:sz w:val="9"/>
                <w:szCs w:val="9"/>
              </w:rPr>
              <w:t>2,45</w:t>
            </w:r>
          </w:p>
        </w:tc>
        <w:tc>
          <w:tcPr>
            <w:tcW w:w="237" w:type="dxa"/>
            <w:tcBorders>
              <w:top w:val="nil"/>
              <w:left w:val="nil"/>
              <w:bottom w:val="nil"/>
              <w:right w:val="nil"/>
            </w:tcBorders>
          </w:tcPr>
          <w:p w:rsidR="00DF26C1" w:rsidRDefault="00DF26C1" w:rsidP="007B6DBD">
            <w:pPr>
              <w:pStyle w:val="TableParagraph"/>
              <w:kinsoku w:val="0"/>
              <w:overflowPunct w:val="0"/>
              <w:spacing w:before="5"/>
              <w:ind w:left="79"/>
            </w:pPr>
            <w:r>
              <w:rPr>
                <w:rFonts w:ascii="Arial" w:hAnsi="Arial" w:cs="Arial"/>
                <w:w w:val="105"/>
                <w:sz w:val="9"/>
                <w:szCs w:val="9"/>
              </w:rPr>
              <w:t>1,5</w:t>
            </w:r>
          </w:p>
        </w:tc>
        <w:tc>
          <w:tcPr>
            <w:tcW w:w="296" w:type="dxa"/>
            <w:tcBorders>
              <w:top w:val="nil"/>
              <w:left w:val="nil"/>
              <w:bottom w:val="nil"/>
              <w:right w:val="nil"/>
            </w:tcBorders>
          </w:tcPr>
          <w:p w:rsidR="00DF26C1" w:rsidRDefault="00DF26C1" w:rsidP="007B6DBD">
            <w:pPr>
              <w:pStyle w:val="TableParagraph"/>
              <w:kinsoku w:val="0"/>
              <w:overflowPunct w:val="0"/>
              <w:spacing w:before="5"/>
              <w:ind w:left="81"/>
            </w:pPr>
            <w:r>
              <w:rPr>
                <w:rFonts w:ascii="Arial" w:hAnsi="Arial" w:cs="Arial"/>
                <w:w w:val="105"/>
                <w:sz w:val="9"/>
                <w:szCs w:val="9"/>
              </w:rPr>
              <w:t>0,17</w:t>
            </w:r>
          </w:p>
        </w:tc>
        <w:tc>
          <w:tcPr>
            <w:tcW w:w="274" w:type="dxa"/>
            <w:tcBorders>
              <w:top w:val="nil"/>
              <w:left w:val="nil"/>
              <w:bottom w:val="nil"/>
              <w:right w:val="nil"/>
            </w:tcBorders>
          </w:tcPr>
          <w:p w:rsidR="00DF26C1" w:rsidRDefault="00DF26C1" w:rsidP="007B6DBD">
            <w:pPr>
              <w:pStyle w:val="TableParagraph"/>
              <w:kinsoku w:val="0"/>
              <w:overflowPunct w:val="0"/>
              <w:spacing w:before="5"/>
              <w:ind w:left="64"/>
            </w:pPr>
            <w:r>
              <w:rPr>
                <w:rFonts w:ascii="Arial" w:hAnsi="Arial" w:cs="Arial"/>
                <w:w w:val="105"/>
                <w:sz w:val="9"/>
                <w:szCs w:val="9"/>
              </w:rPr>
              <w:t>1,24</w:t>
            </w:r>
          </w:p>
        </w:tc>
        <w:tc>
          <w:tcPr>
            <w:tcW w:w="350" w:type="dxa"/>
            <w:tcBorders>
              <w:top w:val="nil"/>
              <w:left w:val="nil"/>
              <w:bottom w:val="nil"/>
              <w:right w:val="nil"/>
            </w:tcBorders>
          </w:tcPr>
          <w:p w:rsidR="00DF26C1" w:rsidRDefault="00DF26C1" w:rsidP="007B6DBD">
            <w:pPr>
              <w:pStyle w:val="TableParagraph"/>
              <w:kinsoku w:val="0"/>
              <w:overflowPunct w:val="0"/>
              <w:spacing w:before="5"/>
              <w:ind w:left="30"/>
            </w:pPr>
            <w:r>
              <w:rPr>
                <w:rFonts w:ascii="Arial" w:hAnsi="Arial" w:cs="Arial"/>
                <w:w w:val="105"/>
                <w:sz w:val="9"/>
                <w:szCs w:val="9"/>
              </w:rPr>
              <w:t>100,03</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5"/>
              <w:ind w:left="86"/>
            </w:pPr>
            <w:r>
              <w:rPr>
                <w:rFonts w:ascii="Arial" w:hAnsi="Arial" w:cs="Arial"/>
                <w:w w:val="105"/>
                <w:sz w:val="9"/>
                <w:szCs w:val="9"/>
              </w:rPr>
              <w:t>51</w:t>
            </w:r>
          </w:p>
        </w:tc>
        <w:tc>
          <w:tcPr>
            <w:tcW w:w="253" w:type="dxa"/>
            <w:tcBorders>
              <w:top w:val="nil"/>
              <w:left w:val="nil"/>
              <w:bottom w:val="nil"/>
              <w:right w:val="nil"/>
            </w:tcBorders>
          </w:tcPr>
          <w:p w:rsidR="00DF26C1" w:rsidRDefault="00DF26C1" w:rsidP="007B6DBD">
            <w:pPr>
              <w:pStyle w:val="TableParagraph"/>
              <w:kinsoku w:val="0"/>
              <w:overflowPunct w:val="0"/>
              <w:spacing w:before="5"/>
              <w:ind w:left="70"/>
            </w:pPr>
            <w:r>
              <w:rPr>
                <w:rFonts w:ascii="Arial" w:hAnsi="Arial" w:cs="Arial"/>
                <w:w w:val="105"/>
                <w:sz w:val="9"/>
                <w:szCs w:val="9"/>
              </w:rPr>
              <w:t>280</w:t>
            </w:r>
          </w:p>
        </w:tc>
        <w:tc>
          <w:tcPr>
            <w:tcW w:w="245" w:type="dxa"/>
            <w:tcBorders>
              <w:top w:val="nil"/>
              <w:left w:val="nil"/>
              <w:bottom w:val="nil"/>
              <w:right w:val="nil"/>
            </w:tcBorders>
          </w:tcPr>
          <w:p w:rsidR="00DF26C1" w:rsidRDefault="00DF26C1" w:rsidP="007B6DBD">
            <w:pPr>
              <w:pStyle w:val="TableParagraph"/>
              <w:kinsoku w:val="0"/>
              <w:overflowPunct w:val="0"/>
              <w:spacing w:before="5"/>
              <w:ind w:left="115"/>
            </w:pPr>
            <w:r>
              <w:rPr>
                <w:rFonts w:ascii="Arial" w:hAnsi="Arial" w:cs="Arial"/>
                <w:w w:val="105"/>
                <w:sz w:val="9"/>
                <w:szCs w:val="9"/>
              </w:rPr>
              <w:t>20</w:t>
            </w:r>
          </w:p>
        </w:tc>
        <w:tc>
          <w:tcPr>
            <w:tcW w:w="259" w:type="dxa"/>
            <w:tcBorders>
              <w:top w:val="nil"/>
              <w:left w:val="nil"/>
              <w:bottom w:val="nil"/>
              <w:right w:val="nil"/>
            </w:tcBorders>
          </w:tcPr>
          <w:p w:rsidR="00DF26C1" w:rsidRDefault="00DF26C1" w:rsidP="007B6DBD">
            <w:pPr>
              <w:pStyle w:val="TableParagraph"/>
              <w:kinsoku w:val="0"/>
              <w:overflowPunct w:val="0"/>
              <w:spacing w:before="5"/>
              <w:ind w:left="76"/>
            </w:pPr>
            <w:r>
              <w:rPr>
                <w:rFonts w:ascii="Arial" w:hAnsi="Arial" w:cs="Arial"/>
                <w:w w:val="105"/>
                <w:sz w:val="9"/>
                <w:szCs w:val="9"/>
              </w:rPr>
              <w:t>110</w:t>
            </w:r>
          </w:p>
        </w:tc>
        <w:tc>
          <w:tcPr>
            <w:tcW w:w="223" w:type="dxa"/>
            <w:tcBorders>
              <w:top w:val="nil"/>
              <w:left w:val="nil"/>
              <w:bottom w:val="nil"/>
              <w:right w:val="nil"/>
            </w:tcBorders>
          </w:tcPr>
          <w:p w:rsidR="00DF26C1" w:rsidRDefault="00DF26C1" w:rsidP="007B6DBD">
            <w:pPr>
              <w:pStyle w:val="TableParagraph"/>
              <w:kinsoku w:val="0"/>
              <w:overflowPunct w:val="0"/>
              <w:spacing w:before="5"/>
              <w:ind w:left="49"/>
            </w:pPr>
            <w:r>
              <w:rPr>
                <w:rFonts w:ascii="Arial" w:hAnsi="Arial" w:cs="Arial"/>
                <w:w w:val="105"/>
                <w:sz w:val="9"/>
                <w:szCs w:val="9"/>
              </w:rPr>
              <w:t>6,8</w:t>
            </w:r>
          </w:p>
        </w:tc>
        <w:tc>
          <w:tcPr>
            <w:tcW w:w="281" w:type="dxa"/>
            <w:tcBorders>
              <w:top w:val="nil"/>
              <w:left w:val="nil"/>
              <w:bottom w:val="nil"/>
              <w:right w:val="nil"/>
            </w:tcBorders>
          </w:tcPr>
          <w:p w:rsidR="00DF26C1" w:rsidRDefault="00DF26C1" w:rsidP="007B6DBD">
            <w:pPr>
              <w:pStyle w:val="TableParagraph"/>
              <w:kinsoku w:val="0"/>
              <w:overflowPunct w:val="0"/>
              <w:spacing w:before="5"/>
              <w:ind w:left="99"/>
            </w:pPr>
            <w:r>
              <w:rPr>
                <w:rFonts w:ascii="Arial" w:hAnsi="Arial" w:cs="Arial"/>
                <w:w w:val="105"/>
                <w:sz w:val="9"/>
                <w:szCs w:val="9"/>
              </w:rPr>
              <w:t>685</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5"/>
              <w:ind w:left="107"/>
            </w:pPr>
            <w:r>
              <w:rPr>
                <w:rFonts w:ascii="Arial" w:hAnsi="Arial" w:cs="Arial"/>
                <w:w w:val="105"/>
                <w:sz w:val="9"/>
                <w:szCs w:val="9"/>
              </w:rPr>
              <w:t>20</w:t>
            </w:r>
          </w:p>
        </w:tc>
        <w:tc>
          <w:tcPr>
            <w:tcW w:w="302" w:type="dxa"/>
            <w:tcBorders>
              <w:top w:val="nil"/>
              <w:left w:val="nil"/>
              <w:bottom w:val="nil"/>
              <w:right w:val="nil"/>
            </w:tcBorders>
          </w:tcPr>
          <w:p w:rsidR="00DF26C1" w:rsidRDefault="00DF26C1" w:rsidP="007B6DBD">
            <w:pPr>
              <w:pStyle w:val="TableParagraph"/>
              <w:kinsoku w:val="0"/>
              <w:overflowPunct w:val="0"/>
              <w:spacing w:before="5"/>
              <w:ind w:left="172"/>
            </w:pPr>
            <w:r>
              <w:rPr>
                <w:rFonts w:ascii="Arial" w:hAnsi="Arial" w:cs="Arial"/>
                <w:w w:val="105"/>
                <w:sz w:val="9"/>
                <w:szCs w:val="9"/>
              </w:rPr>
              <w:t>38</w:t>
            </w:r>
          </w:p>
        </w:tc>
        <w:tc>
          <w:tcPr>
            <w:tcW w:w="259" w:type="dxa"/>
            <w:tcBorders>
              <w:top w:val="nil"/>
              <w:left w:val="nil"/>
              <w:bottom w:val="nil"/>
              <w:right w:val="nil"/>
            </w:tcBorders>
          </w:tcPr>
          <w:p w:rsidR="00DF26C1" w:rsidRDefault="00DF26C1" w:rsidP="007B6DBD">
            <w:pPr>
              <w:pStyle w:val="TableParagraph"/>
              <w:kinsoku w:val="0"/>
              <w:overflowPunct w:val="0"/>
              <w:spacing w:before="5"/>
              <w:ind w:left="129"/>
            </w:pPr>
            <w:r>
              <w:rPr>
                <w:rFonts w:ascii="Arial" w:hAnsi="Arial" w:cs="Arial"/>
                <w:w w:val="105"/>
                <w:sz w:val="9"/>
                <w:szCs w:val="9"/>
              </w:rPr>
              <w:t>20</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5"/>
              <w:ind w:right="21"/>
              <w:jc w:val="right"/>
            </w:pPr>
            <w:r>
              <w:rPr>
                <w:rFonts w:ascii="Arial" w:hAnsi="Arial" w:cs="Arial"/>
                <w:w w:val="106"/>
                <w:sz w:val="9"/>
                <w:szCs w:val="9"/>
              </w:rPr>
              <w:t>1</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5"/>
              <w:ind w:left="75"/>
            </w:pPr>
            <w:r>
              <w:rPr>
                <w:rFonts w:ascii="Arial" w:hAnsi="Arial" w:cs="Arial"/>
                <w:w w:val="105"/>
                <w:sz w:val="9"/>
                <w:szCs w:val="9"/>
              </w:rPr>
              <w:t>3,5</w:t>
            </w:r>
          </w:p>
        </w:tc>
        <w:tc>
          <w:tcPr>
            <w:tcW w:w="264" w:type="dxa"/>
            <w:tcBorders>
              <w:top w:val="nil"/>
              <w:left w:val="nil"/>
              <w:bottom w:val="nil"/>
              <w:right w:val="nil"/>
            </w:tcBorders>
          </w:tcPr>
          <w:p w:rsidR="00DF26C1" w:rsidRDefault="00DF26C1" w:rsidP="007B6DBD">
            <w:pPr>
              <w:pStyle w:val="TableParagraph"/>
              <w:kinsoku w:val="0"/>
              <w:overflowPunct w:val="0"/>
              <w:spacing w:before="5"/>
              <w:ind w:left="54"/>
            </w:pPr>
            <w:r>
              <w:rPr>
                <w:rFonts w:ascii="Arial" w:hAnsi="Arial" w:cs="Arial"/>
                <w:w w:val="105"/>
                <w:sz w:val="9"/>
                <w:szCs w:val="9"/>
              </w:rPr>
              <w:t>1,91</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5"/>
              <w:ind w:left="-11"/>
            </w:pPr>
            <w:r>
              <w:rPr>
                <w:rFonts w:ascii="Arial" w:hAnsi="Arial" w:cs="Arial"/>
                <w:w w:val="105"/>
                <w:sz w:val="9"/>
                <w:szCs w:val="9"/>
              </w:rPr>
              <w:t>25</w:t>
            </w:r>
          </w:p>
        </w:tc>
        <w:tc>
          <w:tcPr>
            <w:tcW w:w="225" w:type="dxa"/>
            <w:tcBorders>
              <w:top w:val="nil"/>
              <w:left w:val="nil"/>
              <w:bottom w:val="nil"/>
              <w:right w:val="nil"/>
            </w:tcBorders>
          </w:tcPr>
          <w:p w:rsidR="00DF26C1" w:rsidRDefault="00DF26C1" w:rsidP="007B6DBD">
            <w:pPr>
              <w:pStyle w:val="TableParagraph"/>
              <w:kinsoku w:val="0"/>
              <w:overflowPunct w:val="0"/>
              <w:spacing w:before="5"/>
              <w:ind w:left="93"/>
            </w:pPr>
            <w:r>
              <w:rPr>
                <w:rFonts w:ascii="Arial" w:hAnsi="Arial" w:cs="Arial"/>
                <w:w w:val="105"/>
                <w:sz w:val="9"/>
                <w:szCs w:val="9"/>
              </w:rPr>
              <w:t>95</w:t>
            </w:r>
          </w:p>
        </w:tc>
        <w:tc>
          <w:tcPr>
            <w:tcW w:w="625" w:type="dxa"/>
            <w:tcBorders>
              <w:top w:val="nil"/>
              <w:left w:val="nil"/>
              <w:bottom w:val="nil"/>
              <w:right w:val="nil"/>
            </w:tcBorders>
          </w:tcPr>
          <w:p w:rsidR="00DF26C1" w:rsidRDefault="00DF26C1" w:rsidP="007B6DBD">
            <w:pPr>
              <w:pStyle w:val="TableParagraph"/>
              <w:kinsoku w:val="0"/>
              <w:overflowPunct w:val="0"/>
              <w:spacing w:before="5"/>
              <w:ind w:left="202"/>
            </w:pPr>
            <w:r>
              <w:rPr>
                <w:rFonts w:ascii="Arial" w:hAnsi="Arial" w:cs="Arial"/>
                <w:w w:val="105"/>
                <w:sz w:val="9"/>
                <w:szCs w:val="9"/>
              </w:rPr>
              <w:t>0,708760</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5"/>
              <w:ind w:left="193"/>
            </w:pPr>
            <w:r>
              <w:rPr>
                <w:rFonts w:ascii="Arial" w:hAnsi="Arial" w:cs="Arial"/>
                <w:w w:val="105"/>
                <w:sz w:val="9"/>
                <w:szCs w:val="9"/>
              </w:rPr>
              <w:t>0,512333</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2"/>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Trois</w:t>
            </w:r>
            <w:r>
              <w:rPr>
                <w:rFonts w:ascii="Arial" w:hAnsi="Arial" w:cs="Arial"/>
                <w:spacing w:val="-9"/>
                <w:w w:val="105"/>
                <w:sz w:val="9"/>
                <w:szCs w:val="9"/>
              </w:rPr>
              <w:t xml:space="preserve"> </w:t>
            </w:r>
            <w:r>
              <w:rPr>
                <w:rFonts w:ascii="Arial" w:hAnsi="Arial" w:cs="Arial"/>
                <w:w w:val="105"/>
                <w:sz w:val="9"/>
                <w:szCs w:val="9"/>
              </w:rPr>
              <w:t>Forches</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30</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rhyolite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G44</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30</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72,3</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0,27</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13,65</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92"/>
            </w:pPr>
            <w:r>
              <w:rPr>
                <w:rFonts w:ascii="Arial" w:hAnsi="Arial" w:cs="Arial"/>
                <w:w w:val="105"/>
                <w:sz w:val="9"/>
                <w:szCs w:val="9"/>
              </w:rPr>
              <w:t>t. 2</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right="9"/>
              <w:jc w:val="right"/>
            </w:pPr>
            <w:r>
              <w:rPr>
                <w:rFonts w:ascii="Arial" w:hAnsi="Arial" w:cs="Arial"/>
                <w:w w:val="106"/>
                <w:sz w:val="9"/>
                <w:szCs w:val="9"/>
              </w:rPr>
              <w:t>0</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0,3</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1,63</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3,80</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4,2</w:t>
            </w:r>
          </w:p>
        </w:tc>
        <w:tc>
          <w:tcPr>
            <w:tcW w:w="296" w:type="dxa"/>
            <w:tcBorders>
              <w:top w:val="nil"/>
              <w:left w:val="nil"/>
              <w:bottom w:val="nil"/>
              <w:right w:val="nil"/>
            </w:tcBorders>
          </w:tcPr>
          <w:p w:rsidR="00DF26C1" w:rsidRDefault="00DF26C1" w:rsidP="007B6DBD"/>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0,99</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99,06</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148</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162</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159</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13</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774</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01"/>
            </w:pPr>
            <w:r>
              <w:rPr>
                <w:rFonts w:ascii="Arial" w:hAnsi="Arial" w:cs="Arial"/>
                <w:w w:val="105"/>
                <w:sz w:val="9"/>
                <w:szCs w:val="9"/>
              </w:rPr>
              <w:t>15</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35</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72,5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28,1</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5,75</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1,4</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5,9</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4,6</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2,44</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41"/>
            </w:pPr>
            <w:r>
              <w:rPr>
                <w:rFonts w:ascii="Arial" w:hAnsi="Arial" w:cs="Arial"/>
                <w:w w:val="106"/>
                <w:sz w:val="9"/>
                <w:szCs w:val="9"/>
              </w:rPr>
              <w:t>8</w:t>
            </w:r>
          </w:p>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0,710156</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39"/>
        </w:trPr>
        <w:tc>
          <w:tcPr>
            <w:tcW w:w="921" w:type="dxa"/>
            <w:tcBorders>
              <w:top w:val="nil"/>
              <w:left w:val="nil"/>
              <w:bottom w:val="nil"/>
              <w:right w:val="nil"/>
            </w:tcBorders>
          </w:tcPr>
          <w:p w:rsidR="00DF26C1" w:rsidRDefault="00DF26C1" w:rsidP="007B6DBD">
            <w:pPr>
              <w:pStyle w:val="TableParagraph"/>
              <w:kinsoku w:val="0"/>
              <w:overflowPunct w:val="0"/>
              <w:spacing w:before="9"/>
              <w:ind w:left="23"/>
            </w:pPr>
            <w:r>
              <w:rPr>
                <w:rFonts w:ascii="Arial" w:hAnsi="Arial" w:cs="Arial"/>
                <w:w w:val="105"/>
                <w:sz w:val="9"/>
                <w:szCs w:val="9"/>
              </w:rPr>
              <w:t>Gourougou</w:t>
            </w:r>
          </w:p>
        </w:tc>
        <w:tc>
          <w:tcPr>
            <w:tcW w:w="503" w:type="dxa"/>
            <w:tcBorders>
              <w:top w:val="nil"/>
              <w:left w:val="nil"/>
              <w:bottom w:val="nil"/>
              <w:right w:val="nil"/>
            </w:tcBorders>
          </w:tcPr>
          <w:p w:rsidR="00DF26C1" w:rsidRDefault="00DF26C1" w:rsidP="007B6DBD">
            <w:pPr>
              <w:pStyle w:val="TableParagraph"/>
              <w:kinsoku w:val="0"/>
              <w:overflowPunct w:val="0"/>
              <w:spacing w:before="25"/>
              <w:ind w:left="85"/>
            </w:pPr>
            <w:r>
              <w:rPr>
                <w:rFonts w:ascii="Arial" w:hAnsi="Arial" w:cs="Arial"/>
                <w:w w:val="105"/>
                <w:sz w:val="9"/>
                <w:szCs w:val="9"/>
              </w:rPr>
              <w:t>close</w:t>
            </w:r>
            <w:r>
              <w:rPr>
                <w:rFonts w:ascii="Arial" w:hAnsi="Arial" w:cs="Arial"/>
                <w:spacing w:val="-4"/>
                <w:w w:val="105"/>
                <w:sz w:val="9"/>
                <w:szCs w:val="9"/>
              </w:rPr>
              <w:t xml:space="preserve"> </w:t>
            </w:r>
            <w:r>
              <w:rPr>
                <w:rFonts w:ascii="Arial" w:hAnsi="Arial" w:cs="Arial"/>
                <w:w w:val="105"/>
                <w:sz w:val="9"/>
                <w:szCs w:val="9"/>
              </w:rPr>
              <w:t>to</w:t>
            </w:r>
          </w:p>
        </w:tc>
        <w:tc>
          <w:tcPr>
            <w:tcW w:w="624" w:type="dxa"/>
            <w:tcBorders>
              <w:top w:val="nil"/>
              <w:left w:val="nil"/>
              <w:bottom w:val="nil"/>
              <w:right w:val="nil"/>
            </w:tcBorders>
          </w:tcPr>
          <w:p w:rsidR="00DF26C1" w:rsidRDefault="00DF26C1" w:rsidP="007B6DBD">
            <w:pPr>
              <w:pStyle w:val="TableParagraph"/>
              <w:kinsoku w:val="0"/>
              <w:overflowPunct w:val="0"/>
              <w:spacing w:before="9"/>
              <w:ind w:left="16"/>
            </w:pPr>
            <w:r>
              <w:rPr>
                <w:rFonts w:ascii="Arial" w:hAnsi="Arial" w:cs="Arial"/>
                <w:w w:val="105"/>
                <w:sz w:val="9"/>
                <w:szCs w:val="9"/>
              </w:rPr>
              <w:t>granodiorite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9"/>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9"/>
              <w:ind w:left="6"/>
            </w:pPr>
            <w:r>
              <w:rPr>
                <w:rFonts w:ascii="Arial" w:hAnsi="Arial" w:cs="Arial"/>
                <w:w w:val="105"/>
                <w:sz w:val="9"/>
                <w:szCs w:val="9"/>
              </w:rPr>
              <w:t>G1</w:t>
            </w:r>
          </w:p>
        </w:tc>
        <w:tc>
          <w:tcPr>
            <w:tcW w:w="437" w:type="dxa"/>
            <w:tcBorders>
              <w:top w:val="nil"/>
              <w:left w:val="nil"/>
              <w:bottom w:val="nil"/>
              <w:right w:val="nil"/>
            </w:tcBorders>
          </w:tcPr>
          <w:p w:rsidR="00DF26C1" w:rsidRDefault="00DF26C1" w:rsidP="007B6DBD">
            <w:pPr>
              <w:pStyle w:val="TableParagraph"/>
              <w:kinsoku w:val="0"/>
              <w:overflowPunct w:val="0"/>
              <w:spacing w:before="9"/>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9"/>
              <w:ind w:left="112"/>
            </w:pPr>
            <w:r>
              <w:rPr>
                <w:rFonts w:ascii="Arial" w:hAnsi="Arial" w:cs="Arial"/>
                <w:w w:val="105"/>
                <w:sz w:val="9"/>
                <w:szCs w:val="9"/>
              </w:rPr>
              <w:t>30</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9"/>
              <w:ind w:left="31"/>
            </w:pPr>
            <w:r>
              <w:rPr>
                <w:rFonts w:ascii="Arial" w:hAnsi="Arial" w:cs="Arial"/>
                <w:w w:val="105"/>
                <w:sz w:val="9"/>
                <w:szCs w:val="9"/>
              </w:rPr>
              <w:t>59,15</w:t>
            </w:r>
          </w:p>
        </w:tc>
        <w:tc>
          <w:tcPr>
            <w:tcW w:w="293" w:type="dxa"/>
            <w:tcBorders>
              <w:top w:val="nil"/>
              <w:left w:val="nil"/>
              <w:bottom w:val="nil"/>
              <w:right w:val="nil"/>
            </w:tcBorders>
          </w:tcPr>
          <w:p w:rsidR="00DF26C1" w:rsidRDefault="00DF26C1" w:rsidP="007B6DBD">
            <w:pPr>
              <w:pStyle w:val="TableParagraph"/>
              <w:kinsoku w:val="0"/>
              <w:overflowPunct w:val="0"/>
              <w:spacing w:before="9"/>
              <w:ind w:left="83"/>
            </w:pPr>
            <w:r>
              <w:rPr>
                <w:rFonts w:ascii="Arial" w:hAnsi="Arial" w:cs="Arial"/>
                <w:w w:val="105"/>
                <w:sz w:val="9"/>
                <w:szCs w:val="9"/>
              </w:rPr>
              <w:t>0,57</w:t>
            </w:r>
          </w:p>
        </w:tc>
        <w:tc>
          <w:tcPr>
            <w:tcW w:w="308" w:type="dxa"/>
            <w:tcBorders>
              <w:top w:val="nil"/>
              <w:left w:val="nil"/>
              <w:bottom w:val="nil"/>
              <w:right w:val="nil"/>
            </w:tcBorders>
          </w:tcPr>
          <w:p w:rsidR="00DF26C1" w:rsidRDefault="00DF26C1" w:rsidP="007B6DBD">
            <w:pPr>
              <w:pStyle w:val="TableParagraph"/>
              <w:kinsoku w:val="0"/>
              <w:overflowPunct w:val="0"/>
              <w:spacing w:before="9"/>
              <w:ind w:left="57"/>
            </w:pPr>
            <w:r>
              <w:rPr>
                <w:rFonts w:ascii="Arial" w:hAnsi="Arial" w:cs="Arial"/>
                <w:w w:val="105"/>
                <w:sz w:val="9"/>
                <w:szCs w:val="9"/>
              </w:rPr>
              <w:t>14,75</w:t>
            </w:r>
          </w:p>
        </w:tc>
        <w:tc>
          <w:tcPr>
            <w:tcW w:w="353" w:type="dxa"/>
            <w:tcBorders>
              <w:top w:val="nil"/>
              <w:left w:val="nil"/>
              <w:bottom w:val="nil"/>
              <w:right w:val="nil"/>
            </w:tcBorders>
          </w:tcPr>
          <w:p w:rsidR="00DF26C1" w:rsidRDefault="00DF26C1" w:rsidP="007B6DBD">
            <w:pPr>
              <w:pStyle w:val="TableParagraph"/>
              <w:kinsoku w:val="0"/>
              <w:overflowPunct w:val="0"/>
              <w:spacing w:before="9"/>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6.85</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9"/>
              <w:ind w:left="28"/>
            </w:pPr>
            <w:r>
              <w:rPr>
                <w:rFonts w:ascii="Arial" w:hAnsi="Arial" w:cs="Arial"/>
                <w:w w:val="105"/>
                <w:sz w:val="9"/>
                <w:szCs w:val="9"/>
              </w:rPr>
              <w:t>0,02</w:t>
            </w:r>
          </w:p>
        </w:tc>
        <w:tc>
          <w:tcPr>
            <w:tcW w:w="269" w:type="dxa"/>
            <w:tcBorders>
              <w:top w:val="nil"/>
              <w:left w:val="nil"/>
              <w:bottom w:val="nil"/>
              <w:right w:val="nil"/>
            </w:tcBorders>
          </w:tcPr>
          <w:p w:rsidR="00DF26C1" w:rsidRDefault="00DF26C1" w:rsidP="007B6DBD">
            <w:pPr>
              <w:pStyle w:val="TableParagraph"/>
              <w:kinsoku w:val="0"/>
              <w:overflowPunct w:val="0"/>
              <w:spacing w:before="9"/>
              <w:ind w:left="54"/>
            </w:pPr>
            <w:r>
              <w:rPr>
                <w:rFonts w:ascii="Arial" w:hAnsi="Arial" w:cs="Arial"/>
                <w:w w:val="105"/>
                <w:sz w:val="9"/>
                <w:szCs w:val="9"/>
              </w:rPr>
              <w:t>3,90</w:t>
            </w:r>
          </w:p>
        </w:tc>
        <w:tc>
          <w:tcPr>
            <w:tcW w:w="261" w:type="dxa"/>
            <w:tcBorders>
              <w:top w:val="nil"/>
              <w:left w:val="nil"/>
              <w:bottom w:val="nil"/>
              <w:right w:val="nil"/>
            </w:tcBorders>
          </w:tcPr>
          <w:p w:rsidR="00DF26C1" w:rsidRDefault="00DF26C1" w:rsidP="007B6DBD">
            <w:pPr>
              <w:pStyle w:val="TableParagraph"/>
              <w:kinsoku w:val="0"/>
              <w:overflowPunct w:val="0"/>
              <w:spacing w:before="9"/>
              <w:ind w:left="56"/>
            </w:pPr>
            <w:r>
              <w:rPr>
                <w:rFonts w:ascii="Arial" w:hAnsi="Arial" w:cs="Arial"/>
                <w:w w:val="105"/>
                <w:sz w:val="9"/>
                <w:szCs w:val="9"/>
              </w:rPr>
              <w:t>3,89</w:t>
            </w:r>
          </w:p>
        </w:tc>
        <w:tc>
          <w:tcPr>
            <w:tcW w:w="278" w:type="dxa"/>
            <w:tcBorders>
              <w:top w:val="nil"/>
              <w:left w:val="nil"/>
              <w:bottom w:val="nil"/>
              <w:right w:val="nil"/>
            </w:tcBorders>
          </w:tcPr>
          <w:p w:rsidR="00DF26C1" w:rsidRDefault="00DF26C1" w:rsidP="007B6DBD">
            <w:pPr>
              <w:pStyle w:val="TableParagraph"/>
              <w:kinsoku w:val="0"/>
              <w:overflowPunct w:val="0"/>
              <w:spacing w:before="9"/>
              <w:ind w:left="54"/>
            </w:pPr>
            <w:r>
              <w:rPr>
                <w:rFonts w:ascii="Arial" w:hAnsi="Arial" w:cs="Arial"/>
                <w:w w:val="105"/>
                <w:sz w:val="9"/>
                <w:szCs w:val="9"/>
              </w:rPr>
              <w:t>2,40</w:t>
            </w:r>
          </w:p>
        </w:tc>
        <w:tc>
          <w:tcPr>
            <w:tcW w:w="237" w:type="dxa"/>
            <w:tcBorders>
              <w:top w:val="nil"/>
              <w:left w:val="nil"/>
              <w:bottom w:val="nil"/>
              <w:right w:val="nil"/>
            </w:tcBorders>
          </w:tcPr>
          <w:p w:rsidR="00DF26C1" w:rsidRDefault="00DF26C1" w:rsidP="007B6DBD">
            <w:pPr>
              <w:pStyle w:val="TableParagraph"/>
              <w:kinsoku w:val="0"/>
              <w:overflowPunct w:val="0"/>
              <w:spacing w:before="9"/>
              <w:ind w:left="26"/>
            </w:pPr>
            <w:r>
              <w:rPr>
                <w:rFonts w:ascii="Arial" w:hAnsi="Arial" w:cs="Arial"/>
                <w:w w:val="105"/>
                <w:sz w:val="9"/>
                <w:szCs w:val="9"/>
              </w:rPr>
              <w:t>3,30</w:t>
            </w:r>
          </w:p>
        </w:tc>
        <w:tc>
          <w:tcPr>
            <w:tcW w:w="296" w:type="dxa"/>
            <w:tcBorders>
              <w:top w:val="nil"/>
              <w:left w:val="nil"/>
              <w:bottom w:val="nil"/>
              <w:right w:val="nil"/>
            </w:tcBorders>
          </w:tcPr>
          <w:p w:rsidR="00DF26C1" w:rsidRDefault="00DF26C1" w:rsidP="007B6DBD"/>
        </w:tc>
        <w:tc>
          <w:tcPr>
            <w:tcW w:w="274" w:type="dxa"/>
            <w:tcBorders>
              <w:top w:val="nil"/>
              <w:left w:val="nil"/>
              <w:bottom w:val="nil"/>
              <w:right w:val="nil"/>
            </w:tcBorders>
          </w:tcPr>
          <w:p w:rsidR="00DF26C1" w:rsidRDefault="00DF26C1" w:rsidP="007B6DBD">
            <w:pPr>
              <w:pStyle w:val="TableParagraph"/>
              <w:kinsoku w:val="0"/>
              <w:overflowPunct w:val="0"/>
              <w:spacing w:before="9"/>
              <w:ind w:left="64"/>
            </w:pPr>
            <w:r>
              <w:rPr>
                <w:rFonts w:ascii="Arial" w:hAnsi="Arial" w:cs="Arial"/>
                <w:w w:val="105"/>
                <w:sz w:val="9"/>
                <w:szCs w:val="9"/>
              </w:rPr>
              <w:t>4,54</w:t>
            </w:r>
          </w:p>
        </w:tc>
        <w:tc>
          <w:tcPr>
            <w:tcW w:w="350" w:type="dxa"/>
            <w:tcBorders>
              <w:top w:val="nil"/>
              <w:left w:val="nil"/>
              <w:bottom w:val="nil"/>
              <w:right w:val="nil"/>
            </w:tcBorders>
          </w:tcPr>
          <w:p w:rsidR="00DF26C1" w:rsidRDefault="00DF26C1" w:rsidP="007B6DBD">
            <w:pPr>
              <w:pStyle w:val="TableParagraph"/>
              <w:kinsoku w:val="0"/>
              <w:overflowPunct w:val="0"/>
              <w:spacing w:before="9"/>
              <w:ind w:left="83"/>
            </w:pPr>
            <w:r>
              <w:rPr>
                <w:rFonts w:ascii="Arial" w:hAnsi="Arial" w:cs="Arial"/>
                <w:w w:val="105"/>
                <w:sz w:val="9"/>
                <w:szCs w:val="9"/>
              </w:rPr>
              <w:t>99,37</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9"/>
              <w:ind w:left="86"/>
            </w:pPr>
            <w:r>
              <w:rPr>
                <w:rFonts w:ascii="Arial" w:hAnsi="Arial" w:cs="Arial"/>
                <w:w w:val="105"/>
                <w:sz w:val="9"/>
                <w:szCs w:val="9"/>
              </w:rPr>
              <w:t>85</w:t>
            </w:r>
          </w:p>
        </w:tc>
        <w:tc>
          <w:tcPr>
            <w:tcW w:w="253" w:type="dxa"/>
            <w:tcBorders>
              <w:top w:val="nil"/>
              <w:left w:val="nil"/>
              <w:bottom w:val="nil"/>
              <w:right w:val="nil"/>
            </w:tcBorders>
          </w:tcPr>
          <w:p w:rsidR="00DF26C1" w:rsidRDefault="00DF26C1" w:rsidP="007B6DBD">
            <w:pPr>
              <w:pStyle w:val="TableParagraph"/>
              <w:kinsoku w:val="0"/>
              <w:overflowPunct w:val="0"/>
              <w:spacing w:before="9"/>
              <w:ind w:left="70"/>
            </w:pPr>
            <w:r>
              <w:rPr>
                <w:rFonts w:ascii="Arial" w:hAnsi="Arial" w:cs="Arial"/>
                <w:w w:val="105"/>
                <w:sz w:val="9"/>
                <w:szCs w:val="9"/>
              </w:rPr>
              <w:t>410</w:t>
            </w:r>
          </w:p>
        </w:tc>
        <w:tc>
          <w:tcPr>
            <w:tcW w:w="245" w:type="dxa"/>
            <w:tcBorders>
              <w:top w:val="nil"/>
              <w:left w:val="nil"/>
              <w:bottom w:val="nil"/>
              <w:right w:val="nil"/>
            </w:tcBorders>
          </w:tcPr>
          <w:p w:rsidR="00DF26C1" w:rsidRDefault="00DF26C1" w:rsidP="007B6DBD">
            <w:pPr>
              <w:pStyle w:val="TableParagraph"/>
              <w:kinsoku w:val="0"/>
              <w:overflowPunct w:val="0"/>
              <w:spacing w:before="9"/>
              <w:ind w:left="115"/>
            </w:pPr>
            <w:r>
              <w:rPr>
                <w:rFonts w:ascii="Arial" w:hAnsi="Arial" w:cs="Arial"/>
                <w:w w:val="105"/>
                <w:sz w:val="9"/>
                <w:szCs w:val="9"/>
              </w:rPr>
              <w:t>26</w:t>
            </w:r>
          </w:p>
        </w:tc>
        <w:tc>
          <w:tcPr>
            <w:tcW w:w="259" w:type="dxa"/>
            <w:tcBorders>
              <w:top w:val="nil"/>
              <w:left w:val="nil"/>
              <w:bottom w:val="nil"/>
              <w:right w:val="nil"/>
            </w:tcBorders>
          </w:tcPr>
          <w:p w:rsidR="00DF26C1" w:rsidRDefault="00DF26C1" w:rsidP="007B6DBD">
            <w:pPr>
              <w:pStyle w:val="TableParagraph"/>
              <w:kinsoku w:val="0"/>
              <w:overflowPunct w:val="0"/>
              <w:spacing w:before="9"/>
              <w:ind w:left="76"/>
            </w:pPr>
            <w:r>
              <w:rPr>
                <w:rFonts w:ascii="Arial" w:hAnsi="Arial" w:cs="Arial"/>
                <w:w w:val="105"/>
                <w:sz w:val="9"/>
                <w:szCs w:val="9"/>
              </w:rPr>
              <w:t>127</w:t>
            </w:r>
          </w:p>
        </w:tc>
        <w:tc>
          <w:tcPr>
            <w:tcW w:w="223" w:type="dxa"/>
            <w:tcBorders>
              <w:top w:val="nil"/>
              <w:left w:val="nil"/>
              <w:bottom w:val="nil"/>
              <w:right w:val="nil"/>
            </w:tcBorders>
          </w:tcPr>
          <w:p w:rsidR="00DF26C1" w:rsidRDefault="00DF26C1" w:rsidP="007B6DBD">
            <w:pPr>
              <w:pStyle w:val="TableParagraph"/>
              <w:kinsoku w:val="0"/>
              <w:overflowPunct w:val="0"/>
              <w:spacing w:before="9"/>
              <w:ind w:left="63"/>
            </w:pPr>
            <w:r>
              <w:rPr>
                <w:rFonts w:ascii="Arial" w:hAnsi="Arial" w:cs="Arial"/>
                <w:w w:val="105"/>
                <w:sz w:val="9"/>
                <w:szCs w:val="9"/>
              </w:rPr>
              <w:t>14</w:t>
            </w:r>
          </w:p>
        </w:tc>
        <w:tc>
          <w:tcPr>
            <w:tcW w:w="281" w:type="dxa"/>
            <w:tcBorders>
              <w:top w:val="nil"/>
              <w:left w:val="nil"/>
              <w:bottom w:val="nil"/>
              <w:right w:val="nil"/>
            </w:tcBorders>
          </w:tcPr>
          <w:p w:rsidR="00DF26C1" w:rsidRDefault="00DF26C1" w:rsidP="007B6DBD">
            <w:pPr>
              <w:pStyle w:val="TableParagraph"/>
              <w:kinsoku w:val="0"/>
              <w:overflowPunct w:val="0"/>
              <w:spacing w:before="9"/>
              <w:ind w:left="99"/>
            </w:pPr>
            <w:r>
              <w:rPr>
                <w:rFonts w:ascii="Arial" w:hAnsi="Arial" w:cs="Arial"/>
                <w:w w:val="105"/>
                <w:sz w:val="9"/>
                <w:szCs w:val="9"/>
              </w:rPr>
              <w:t>974</w:t>
            </w:r>
          </w:p>
        </w:tc>
        <w:tc>
          <w:tcPr>
            <w:tcW w:w="231" w:type="dxa"/>
            <w:tcBorders>
              <w:top w:val="nil"/>
              <w:left w:val="nil"/>
              <w:bottom w:val="nil"/>
              <w:right w:val="nil"/>
            </w:tcBorders>
          </w:tcPr>
          <w:p w:rsidR="00DF26C1" w:rsidRDefault="00DF26C1" w:rsidP="007B6DBD">
            <w:pPr>
              <w:pStyle w:val="TableParagraph"/>
              <w:kinsoku w:val="0"/>
              <w:overflowPunct w:val="0"/>
              <w:spacing w:before="9"/>
              <w:ind w:left="101"/>
            </w:pPr>
            <w:r>
              <w:rPr>
                <w:rFonts w:ascii="Arial" w:hAnsi="Arial" w:cs="Arial"/>
                <w:w w:val="105"/>
                <w:sz w:val="9"/>
                <w:szCs w:val="9"/>
              </w:rPr>
              <w:t>12</w:t>
            </w:r>
          </w:p>
        </w:tc>
        <w:tc>
          <w:tcPr>
            <w:tcW w:w="255" w:type="dxa"/>
            <w:tcBorders>
              <w:top w:val="nil"/>
              <w:left w:val="nil"/>
              <w:bottom w:val="nil"/>
              <w:right w:val="nil"/>
            </w:tcBorders>
          </w:tcPr>
          <w:p w:rsidR="00DF26C1" w:rsidRDefault="00DF26C1" w:rsidP="007B6DBD">
            <w:pPr>
              <w:pStyle w:val="TableParagraph"/>
              <w:kinsoku w:val="0"/>
              <w:overflowPunct w:val="0"/>
              <w:spacing w:before="9"/>
              <w:ind w:left="28"/>
            </w:pPr>
            <w:r>
              <w:rPr>
                <w:rFonts w:ascii="Arial" w:hAnsi="Arial" w:cs="Arial"/>
                <w:w w:val="105"/>
                <w:sz w:val="9"/>
                <w:szCs w:val="9"/>
              </w:rPr>
              <w:t>46,2</w:t>
            </w:r>
          </w:p>
        </w:tc>
        <w:tc>
          <w:tcPr>
            <w:tcW w:w="302" w:type="dxa"/>
            <w:tcBorders>
              <w:top w:val="nil"/>
              <w:left w:val="nil"/>
              <w:bottom w:val="nil"/>
              <w:right w:val="nil"/>
            </w:tcBorders>
          </w:tcPr>
          <w:p w:rsidR="00DF26C1" w:rsidRDefault="00DF26C1" w:rsidP="007B6DBD">
            <w:pPr>
              <w:pStyle w:val="TableParagraph"/>
              <w:kinsoku w:val="0"/>
              <w:overflowPunct w:val="0"/>
              <w:spacing w:before="9"/>
              <w:ind w:left="93"/>
            </w:pPr>
            <w:r>
              <w:rPr>
                <w:rFonts w:ascii="Arial" w:hAnsi="Arial" w:cs="Arial"/>
                <w:w w:val="105"/>
                <w:sz w:val="9"/>
                <w:szCs w:val="9"/>
              </w:rPr>
              <w:t>85,0</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9"/>
              <w:ind w:left="-11"/>
            </w:pPr>
            <w:r>
              <w:rPr>
                <w:rFonts w:ascii="Arial" w:hAnsi="Arial" w:cs="Arial"/>
                <w:w w:val="105"/>
                <w:sz w:val="9"/>
                <w:szCs w:val="9"/>
              </w:rPr>
              <w:t>11</w:t>
            </w:r>
          </w:p>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spacing w:before="9"/>
              <w:ind w:left="202"/>
            </w:pPr>
            <w:r>
              <w:rPr>
                <w:rFonts w:ascii="Arial" w:hAnsi="Arial" w:cs="Arial"/>
                <w:w w:val="105"/>
                <w:sz w:val="9"/>
                <w:szCs w:val="9"/>
              </w:rPr>
              <w:t>0,709312</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5"/>
        </w:trPr>
        <w:tc>
          <w:tcPr>
            <w:tcW w:w="921" w:type="dxa"/>
            <w:tcBorders>
              <w:top w:val="nil"/>
              <w:left w:val="nil"/>
              <w:bottom w:val="nil"/>
              <w:right w:val="nil"/>
            </w:tcBorders>
          </w:tcPr>
          <w:p w:rsidR="00DF26C1" w:rsidRDefault="00DF26C1" w:rsidP="007B6DBD">
            <w:pPr>
              <w:pStyle w:val="TableParagraph"/>
              <w:kinsoku w:val="0"/>
              <w:overflowPunct w:val="0"/>
              <w:spacing w:before="6"/>
              <w:ind w:left="23"/>
            </w:pPr>
            <w:r>
              <w:rPr>
                <w:rFonts w:ascii="Arial" w:hAnsi="Arial" w:cs="Arial"/>
                <w:w w:val="105"/>
                <w:sz w:val="9"/>
                <w:szCs w:val="9"/>
              </w:rPr>
              <w:t>Gourougou</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59"/>
            </w:pPr>
            <w:r>
              <w:rPr>
                <w:rFonts w:ascii="Arial" w:hAnsi="Arial" w:cs="Arial"/>
                <w:w w:val="105"/>
                <w:sz w:val="9"/>
                <w:szCs w:val="9"/>
              </w:rPr>
              <w:t>s.</w:t>
            </w:r>
            <w:r>
              <w:rPr>
                <w:rFonts w:ascii="Arial" w:hAnsi="Arial" w:cs="Arial"/>
                <w:spacing w:val="-2"/>
                <w:w w:val="105"/>
                <w:sz w:val="9"/>
                <w:szCs w:val="9"/>
              </w:rPr>
              <w:t xml:space="preserve"> </w:t>
            </w:r>
            <w:r>
              <w:rPr>
                <w:rFonts w:ascii="Arial" w:hAnsi="Arial" w:cs="Arial"/>
                <w:w w:val="105"/>
                <w:sz w:val="9"/>
                <w:szCs w:val="9"/>
              </w:rPr>
              <w:t>30</w:t>
            </w:r>
          </w:p>
        </w:tc>
        <w:tc>
          <w:tcPr>
            <w:tcW w:w="624" w:type="dxa"/>
            <w:tcBorders>
              <w:top w:val="nil"/>
              <w:left w:val="nil"/>
              <w:bottom w:val="nil"/>
              <w:right w:val="nil"/>
            </w:tcBorders>
          </w:tcPr>
          <w:p w:rsidR="00DF26C1" w:rsidRDefault="00DF26C1" w:rsidP="007B6DBD">
            <w:pPr>
              <w:pStyle w:val="TableParagraph"/>
              <w:kinsoku w:val="0"/>
              <w:overflowPunct w:val="0"/>
              <w:spacing w:before="6"/>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6"/>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6"/>
              <w:ind w:left="6"/>
            </w:pPr>
            <w:r>
              <w:rPr>
                <w:rFonts w:ascii="Arial" w:hAnsi="Arial" w:cs="Arial"/>
                <w:w w:val="105"/>
                <w:sz w:val="9"/>
                <w:szCs w:val="9"/>
              </w:rPr>
              <w:t>G8</w:t>
            </w:r>
          </w:p>
        </w:tc>
        <w:tc>
          <w:tcPr>
            <w:tcW w:w="437" w:type="dxa"/>
            <w:tcBorders>
              <w:top w:val="nil"/>
              <w:left w:val="nil"/>
              <w:bottom w:val="nil"/>
              <w:right w:val="nil"/>
            </w:tcBorders>
          </w:tcPr>
          <w:p w:rsidR="00DF26C1" w:rsidRDefault="00DF26C1" w:rsidP="007B6DBD">
            <w:pPr>
              <w:pStyle w:val="TableParagraph"/>
              <w:kinsoku w:val="0"/>
              <w:overflowPunct w:val="0"/>
              <w:spacing w:before="6"/>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6"/>
              <w:ind w:left="112"/>
            </w:pPr>
            <w:r>
              <w:rPr>
                <w:rFonts w:ascii="Arial" w:hAnsi="Arial" w:cs="Arial"/>
                <w:w w:val="105"/>
                <w:sz w:val="9"/>
                <w:szCs w:val="9"/>
              </w:rPr>
              <w:t>30</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6"/>
              <w:ind w:left="31"/>
            </w:pPr>
            <w:r>
              <w:rPr>
                <w:rFonts w:ascii="Arial" w:hAnsi="Arial" w:cs="Arial"/>
                <w:w w:val="105"/>
                <w:sz w:val="9"/>
                <w:szCs w:val="9"/>
              </w:rPr>
              <w:t>61,00</w:t>
            </w:r>
          </w:p>
        </w:tc>
        <w:tc>
          <w:tcPr>
            <w:tcW w:w="293" w:type="dxa"/>
            <w:tcBorders>
              <w:top w:val="nil"/>
              <w:left w:val="nil"/>
              <w:bottom w:val="nil"/>
              <w:right w:val="nil"/>
            </w:tcBorders>
          </w:tcPr>
          <w:p w:rsidR="00DF26C1" w:rsidRDefault="00DF26C1" w:rsidP="007B6DBD">
            <w:pPr>
              <w:pStyle w:val="TableParagraph"/>
              <w:kinsoku w:val="0"/>
              <w:overflowPunct w:val="0"/>
              <w:spacing w:before="6"/>
              <w:ind w:left="83"/>
            </w:pPr>
            <w:r>
              <w:rPr>
                <w:rFonts w:ascii="Arial" w:hAnsi="Arial" w:cs="Arial"/>
                <w:w w:val="105"/>
                <w:sz w:val="9"/>
                <w:szCs w:val="9"/>
              </w:rPr>
              <w:t>0,75</w:t>
            </w:r>
          </w:p>
        </w:tc>
        <w:tc>
          <w:tcPr>
            <w:tcW w:w="308" w:type="dxa"/>
            <w:tcBorders>
              <w:top w:val="nil"/>
              <w:left w:val="nil"/>
              <w:bottom w:val="nil"/>
              <w:right w:val="nil"/>
            </w:tcBorders>
          </w:tcPr>
          <w:p w:rsidR="00DF26C1" w:rsidRDefault="00DF26C1" w:rsidP="007B6DBD">
            <w:pPr>
              <w:pStyle w:val="TableParagraph"/>
              <w:kinsoku w:val="0"/>
              <w:overflowPunct w:val="0"/>
              <w:spacing w:before="6"/>
              <w:ind w:left="57"/>
            </w:pPr>
            <w:r>
              <w:rPr>
                <w:rFonts w:ascii="Arial" w:hAnsi="Arial" w:cs="Arial"/>
                <w:w w:val="105"/>
                <w:sz w:val="9"/>
                <w:szCs w:val="9"/>
              </w:rPr>
              <w:t>16,50</w:t>
            </w:r>
          </w:p>
        </w:tc>
        <w:tc>
          <w:tcPr>
            <w:tcW w:w="353" w:type="dxa"/>
            <w:tcBorders>
              <w:top w:val="nil"/>
              <w:left w:val="nil"/>
              <w:bottom w:val="nil"/>
              <w:right w:val="nil"/>
            </w:tcBorders>
          </w:tcPr>
          <w:p w:rsidR="00DF26C1" w:rsidRDefault="00DF26C1" w:rsidP="007B6DBD">
            <w:pPr>
              <w:pStyle w:val="TableParagraph"/>
              <w:kinsoku w:val="0"/>
              <w:overflowPunct w:val="0"/>
              <w:spacing w:before="6"/>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4.65</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6"/>
              <w:ind w:left="28"/>
            </w:pPr>
            <w:r>
              <w:rPr>
                <w:rFonts w:ascii="Arial" w:hAnsi="Arial" w:cs="Arial"/>
                <w:w w:val="105"/>
                <w:sz w:val="9"/>
                <w:szCs w:val="9"/>
              </w:rPr>
              <w:t>0,06</w:t>
            </w:r>
          </w:p>
        </w:tc>
        <w:tc>
          <w:tcPr>
            <w:tcW w:w="269" w:type="dxa"/>
            <w:tcBorders>
              <w:top w:val="nil"/>
              <w:left w:val="nil"/>
              <w:bottom w:val="nil"/>
              <w:right w:val="nil"/>
            </w:tcBorders>
          </w:tcPr>
          <w:p w:rsidR="00DF26C1" w:rsidRDefault="00DF26C1" w:rsidP="007B6DBD">
            <w:pPr>
              <w:pStyle w:val="TableParagraph"/>
              <w:kinsoku w:val="0"/>
              <w:overflowPunct w:val="0"/>
              <w:spacing w:before="6"/>
              <w:ind w:left="54"/>
            </w:pPr>
            <w:r>
              <w:rPr>
                <w:rFonts w:ascii="Arial" w:hAnsi="Arial" w:cs="Arial"/>
                <w:w w:val="105"/>
                <w:sz w:val="9"/>
                <w:szCs w:val="9"/>
              </w:rPr>
              <w:t>1,78</w:t>
            </w:r>
          </w:p>
        </w:tc>
        <w:tc>
          <w:tcPr>
            <w:tcW w:w="261" w:type="dxa"/>
            <w:tcBorders>
              <w:top w:val="nil"/>
              <w:left w:val="nil"/>
              <w:bottom w:val="nil"/>
              <w:right w:val="nil"/>
            </w:tcBorders>
          </w:tcPr>
          <w:p w:rsidR="00DF26C1" w:rsidRDefault="00DF26C1" w:rsidP="007B6DBD">
            <w:pPr>
              <w:pStyle w:val="TableParagraph"/>
              <w:kinsoku w:val="0"/>
              <w:overflowPunct w:val="0"/>
              <w:spacing w:before="6"/>
              <w:ind w:left="56"/>
            </w:pPr>
            <w:r>
              <w:rPr>
                <w:rFonts w:ascii="Arial" w:hAnsi="Arial" w:cs="Arial"/>
                <w:w w:val="105"/>
                <w:sz w:val="9"/>
                <w:szCs w:val="9"/>
              </w:rPr>
              <w:t>5,75</w:t>
            </w:r>
          </w:p>
        </w:tc>
        <w:tc>
          <w:tcPr>
            <w:tcW w:w="278" w:type="dxa"/>
            <w:tcBorders>
              <w:top w:val="nil"/>
              <w:left w:val="nil"/>
              <w:bottom w:val="nil"/>
              <w:right w:val="nil"/>
            </w:tcBorders>
          </w:tcPr>
          <w:p w:rsidR="00DF26C1" w:rsidRDefault="00DF26C1" w:rsidP="007B6DBD">
            <w:pPr>
              <w:pStyle w:val="TableParagraph"/>
              <w:kinsoku w:val="0"/>
              <w:overflowPunct w:val="0"/>
              <w:spacing w:before="6"/>
              <w:ind w:left="54"/>
            </w:pPr>
            <w:r>
              <w:rPr>
                <w:rFonts w:ascii="Arial" w:hAnsi="Arial" w:cs="Arial"/>
                <w:w w:val="105"/>
                <w:sz w:val="9"/>
                <w:szCs w:val="9"/>
              </w:rPr>
              <w:t>3,12</w:t>
            </w:r>
          </w:p>
        </w:tc>
        <w:tc>
          <w:tcPr>
            <w:tcW w:w="237" w:type="dxa"/>
            <w:tcBorders>
              <w:top w:val="nil"/>
              <w:left w:val="nil"/>
              <w:bottom w:val="nil"/>
              <w:right w:val="nil"/>
            </w:tcBorders>
          </w:tcPr>
          <w:p w:rsidR="00DF26C1" w:rsidRDefault="00DF26C1" w:rsidP="007B6DBD">
            <w:pPr>
              <w:pStyle w:val="TableParagraph"/>
              <w:kinsoku w:val="0"/>
              <w:overflowPunct w:val="0"/>
              <w:spacing w:before="6"/>
              <w:ind w:left="26"/>
            </w:pPr>
            <w:r>
              <w:rPr>
                <w:rFonts w:ascii="Arial" w:hAnsi="Arial" w:cs="Arial"/>
                <w:w w:val="105"/>
                <w:sz w:val="9"/>
                <w:szCs w:val="9"/>
              </w:rPr>
              <w:t>2,87</w:t>
            </w:r>
          </w:p>
        </w:tc>
        <w:tc>
          <w:tcPr>
            <w:tcW w:w="296" w:type="dxa"/>
            <w:tcBorders>
              <w:top w:val="nil"/>
              <w:left w:val="nil"/>
              <w:bottom w:val="nil"/>
              <w:right w:val="nil"/>
            </w:tcBorders>
          </w:tcPr>
          <w:p w:rsidR="00DF26C1" w:rsidRDefault="00DF26C1" w:rsidP="007B6DBD"/>
        </w:tc>
        <w:tc>
          <w:tcPr>
            <w:tcW w:w="274" w:type="dxa"/>
            <w:tcBorders>
              <w:top w:val="nil"/>
              <w:left w:val="nil"/>
              <w:bottom w:val="nil"/>
              <w:right w:val="nil"/>
            </w:tcBorders>
          </w:tcPr>
          <w:p w:rsidR="00DF26C1" w:rsidRDefault="00DF26C1" w:rsidP="007B6DBD">
            <w:pPr>
              <w:pStyle w:val="TableParagraph"/>
              <w:kinsoku w:val="0"/>
              <w:overflowPunct w:val="0"/>
              <w:spacing w:before="6"/>
              <w:ind w:left="64"/>
            </w:pPr>
            <w:r>
              <w:rPr>
                <w:rFonts w:ascii="Arial" w:hAnsi="Arial" w:cs="Arial"/>
                <w:w w:val="105"/>
                <w:sz w:val="9"/>
                <w:szCs w:val="9"/>
              </w:rPr>
              <w:t>3,24</w:t>
            </w:r>
          </w:p>
        </w:tc>
        <w:tc>
          <w:tcPr>
            <w:tcW w:w="350" w:type="dxa"/>
            <w:tcBorders>
              <w:top w:val="nil"/>
              <w:left w:val="nil"/>
              <w:bottom w:val="nil"/>
              <w:right w:val="nil"/>
            </w:tcBorders>
          </w:tcPr>
          <w:p w:rsidR="00DF26C1" w:rsidRDefault="00DF26C1" w:rsidP="007B6DBD">
            <w:pPr>
              <w:pStyle w:val="TableParagraph"/>
              <w:kinsoku w:val="0"/>
              <w:overflowPunct w:val="0"/>
              <w:spacing w:before="6"/>
              <w:ind w:left="30"/>
            </w:pPr>
            <w:r>
              <w:rPr>
                <w:rFonts w:ascii="Arial" w:hAnsi="Arial" w:cs="Arial"/>
                <w:w w:val="105"/>
                <w:sz w:val="9"/>
                <w:szCs w:val="9"/>
              </w:rPr>
              <w:t>100,31</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6"/>
              <w:ind w:left="59"/>
            </w:pPr>
            <w:r>
              <w:rPr>
                <w:rFonts w:ascii="Arial" w:hAnsi="Arial" w:cs="Arial"/>
                <w:w w:val="105"/>
                <w:sz w:val="9"/>
                <w:szCs w:val="9"/>
              </w:rPr>
              <w:t>280</w:t>
            </w:r>
          </w:p>
        </w:tc>
        <w:tc>
          <w:tcPr>
            <w:tcW w:w="253" w:type="dxa"/>
            <w:tcBorders>
              <w:top w:val="nil"/>
              <w:left w:val="nil"/>
              <w:bottom w:val="nil"/>
              <w:right w:val="nil"/>
            </w:tcBorders>
          </w:tcPr>
          <w:p w:rsidR="00DF26C1" w:rsidRDefault="00DF26C1" w:rsidP="007B6DBD">
            <w:pPr>
              <w:pStyle w:val="TableParagraph"/>
              <w:kinsoku w:val="0"/>
              <w:overflowPunct w:val="0"/>
              <w:spacing w:before="6"/>
              <w:ind w:left="70"/>
            </w:pPr>
            <w:r>
              <w:rPr>
                <w:rFonts w:ascii="Arial" w:hAnsi="Arial" w:cs="Arial"/>
                <w:w w:val="105"/>
                <w:sz w:val="9"/>
                <w:szCs w:val="9"/>
              </w:rPr>
              <w:t>540</w:t>
            </w:r>
          </w:p>
        </w:tc>
        <w:tc>
          <w:tcPr>
            <w:tcW w:w="245" w:type="dxa"/>
            <w:tcBorders>
              <w:top w:val="nil"/>
              <w:left w:val="nil"/>
              <w:bottom w:val="nil"/>
              <w:right w:val="nil"/>
            </w:tcBorders>
          </w:tcPr>
          <w:p w:rsidR="00DF26C1" w:rsidRDefault="00DF26C1" w:rsidP="007B6DBD">
            <w:pPr>
              <w:pStyle w:val="TableParagraph"/>
              <w:kinsoku w:val="0"/>
              <w:overflowPunct w:val="0"/>
              <w:spacing w:before="6"/>
              <w:ind w:left="115"/>
            </w:pPr>
            <w:r>
              <w:rPr>
                <w:rFonts w:ascii="Arial" w:hAnsi="Arial" w:cs="Arial"/>
                <w:w w:val="105"/>
                <w:sz w:val="9"/>
                <w:szCs w:val="9"/>
              </w:rPr>
              <w:t>24</w:t>
            </w:r>
          </w:p>
        </w:tc>
        <w:tc>
          <w:tcPr>
            <w:tcW w:w="259" w:type="dxa"/>
            <w:tcBorders>
              <w:top w:val="nil"/>
              <w:left w:val="nil"/>
              <w:bottom w:val="nil"/>
              <w:right w:val="nil"/>
            </w:tcBorders>
          </w:tcPr>
          <w:p w:rsidR="00DF26C1" w:rsidRDefault="00DF26C1" w:rsidP="007B6DBD">
            <w:pPr>
              <w:pStyle w:val="TableParagraph"/>
              <w:kinsoku w:val="0"/>
              <w:overflowPunct w:val="0"/>
              <w:spacing w:before="6"/>
              <w:ind w:left="76"/>
            </w:pPr>
            <w:r>
              <w:rPr>
                <w:rFonts w:ascii="Arial" w:hAnsi="Arial" w:cs="Arial"/>
                <w:w w:val="105"/>
                <w:sz w:val="9"/>
                <w:szCs w:val="9"/>
              </w:rPr>
              <w:t>212</w:t>
            </w:r>
          </w:p>
        </w:tc>
        <w:tc>
          <w:tcPr>
            <w:tcW w:w="223" w:type="dxa"/>
            <w:tcBorders>
              <w:top w:val="nil"/>
              <w:left w:val="nil"/>
              <w:bottom w:val="nil"/>
              <w:right w:val="nil"/>
            </w:tcBorders>
          </w:tcPr>
          <w:p w:rsidR="00DF26C1" w:rsidRDefault="00DF26C1" w:rsidP="007B6DBD">
            <w:pPr>
              <w:pStyle w:val="TableParagraph"/>
              <w:kinsoku w:val="0"/>
              <w:overflowPunct w:val="0"/>
              <w:spacing w:before="6"/>
              <w:ind w:left="63"/>
            </w:pPr>
            <w:r>
              <w:rPr>
                <w:rFonts w:ascii="Arial" w:hAnsi="Arial" w:cs="Arial"/>
                <w:w w:val="105"/>
                <w:sz w:val="9"/>
                <w:szCs w:val="9"/>
              </w:rPr>
              <w:t>15</w:t>
            </w:r>
          </w:p>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pPr>
              <w:pStyle w:val="TableParagraph"/>
              <w:kinsoku w:val="0"/>
              <w:overflowPunct w:val="0"/>
              <w:spacing w:before="6"/>
              <w:ind w:left="101"/>
            </w:pPr>
            <w:r>
              <w:rPr>
                <w:rFonts w:ascii="Arial" w:hAnsi="Arial" w:cs="Arial"/>
                <w:w w:val="105"/>
                <w:sz w:val="9"/>
                <w:szCs w:val="9"/>
              </w:rPr>
              <w:t>33</w:t>
            </w:r>
          </w:p>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spacing w:before="6"/>
              <w:ind w:left="202"/>
            </w:pPr>
            <w:r>
              <w:rPr>
                <w:rFonts w:ascii="Arial" w:hAnsi="Arial" w:cs="Arial"/>
                <w:w w:val="105"/>
                <w:sz w:val="9"/>
                <w:szCs w:val="9"/>
              </w:rPr>
              <w:t>0,709613</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3"/>
        </w:trPr>
        <w:tc>
          <w:tcPr>
            <w:tcW w:w="921" w:type="dxa"/>
            <w:tcBorders>
              <w:top w:val="nil"/>
              <w:left w:val="nil"/>
              <w:bottom w:val="nil"/>
              <w:right w:val="nil"/>
            </w:tcBorders>
          </w:tcPr>
          <w:p w:rsidR="00DF26C1" w:rsidRDefault="00DF26C1" w:rsidP="007B6DBD">
            <w:pPr>
              <w:pStyle w:val="TableParagraph"/>
              <w:kinsoku w:val="0"/>
              <w:overflowPunct w:val="0"/>
              <w:spacing w:before="9"/>
              <w:ind w:left="23"/>
            </w:pPr>
            <w:r>
              <w:rPr>
                <w:rFonts w:ascii="Arial" w:hAnsi="Arial" w:cs="Arial"/>
                <w:w w:val="105"/>
                <w:sz w:val="9"/>
                <w:szCs w:val="9"/>
              </w:rPr>
              <w:t>Gourougou</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spacing w:before="9"/>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9"/>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9"/>
              <w:ind w:left="6"/>
            </w:pPr>
            <w:r>
              <w:rPr>
                <w:rFonts w:ascii="Arial" w:hAnsi="Arial" w:cs="Arial"/>
                <w:w w:val="105"/>
                <w:sz w:val="9"/>
                <w:szCs w:val="9"/>
              </w:rPr>
              <w:t>G15</w:t>
            </w:r>
          </w:p>
        </w:tc>
        <w:tc>
          <w:tcPr>
            <w:tcW w:w="437" w:type="dxa"/>
            <w:tcBorders>
              <w:top w:val="nil"/>
              <w:left w:val="nil"/>
              <w:bottom w:val="nil"/>
              <w:right w:val="nil"/>
            </w:tcBorders>
          </w:tcPr>
          <w:p w:rsidR="00DF26C1" w:rsidRDefault="00DF26C1" w:rsidP="007B6DBD">
            <w:pPr>
              <w:pStyle w:val="TableParagraph"/>
              <w:kinsoku w:val="0"/>
              <w:overflowPunct w:val="0"/>
              <w:spacing w:before="9"/>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9"/>
              <w:ind w:left="112"/>
            </w:pPr>
            <w:r>
              <w:rPr>
                <w:rFonts w:ascii="Arial" w:hAnsi="Arial" w:cs="Arial"/>
                <w:w w:val="105"/>
                <w:sz w:val="9"/>
                <w:szCs w:val="9"/>
              </w:rPr>
              <w:t>30</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9"/>
              <w:ind w:left="31"/>
            </w:pPr>
            <w:r>
              <w:rPr>
                <w:rFonts w:ascii="Arial" w:hAnsi="Arial" w:cs="Arial"/>
                <w:w w:val="105"/>
                <w:sz w:val="9"/>
                <w:szCs w:val="9"/>
              </w:rPr>
              <w:t>61,00</w:t>
            </w:r>
          </w:p>
        </w:tc>
        <w:tc>
          <w:tcPr>
            <w:tcW w:w="293" w:type="dxa"/>
            <w:tcBorders>
              <w:top w:val="nil"/>
              <w:left w:val="nil"/>
              <w:bottom w:val="nil"/>
              <w:right w:val="nil"/>
            </w:tcBorders>
          </w:tcPr>
          <w:p w:rsidR="00DF26C1" w:rsidRDefault="00DF26C1" w:rsidP="007B6DBD">
            <w:pPr>
              <w:pStyle w:val="TableParagraph"/>
              <w:kinsoku w:val="0"/>
              <w:overflowPunct w:val="0"/>
              <w:spacing w:before="9"/>
              <w:ind w:left="83"/>
            </w:pPr>
            <w:r>
              <w:rPr>
                <w:rFonts w:ascii="Arial" w:hAnsi="Arial" w:cs="Arial"/>
                <w:w w:val="105"/>
                <w:sz w:val="9"/>
                <w:szCs w:val="9"/>
              </w:rPr>
              <w:t>0,70</w:t>
            </w:r>
          </w:p>
        </w:tc>
        <w:tc>
          <w:tcPr>
            <w:tcW w:w="308" w:type="dxa"/>
            <w:tcBorders>
              <w:top w:val="nil"/>
              <w:left w:val="nil"/>
              <w:bottom w:val="nil"/>
              <w:right w:val="nil"/>
            </w:tcBorders>
          </w:tcPr>
          <w:p w:rsidR="00DF26C1" w:rsidRDefault="00DF26C1" w:rsidP="007B6DBD">
            <w:pPr>
              <w:pStyle w:val="TableParagraph"/>
              <w:kinsoku w:val="0"/>
              <w:overflowPunct w:val="0"/>
              <w:spacing w:before="9"/>
              <w:ind w:left="57"/>
            </w:pPr>
            <w:r>
              <w:rPr>
                <w:rFonts w:ascii="Arial" w:hAnsi="Arial" w:cs="Arial"/>
                <w:w w:val="105"/>
                <w:sz w:val="9"/>
                <w:szCs w:val="9"/>
              </w:rPr>
              <w:t>16,35</w:t>
            </w:r>
          </w:p>
        </w:tc>
        <w:tc>
          <w:tcPr>
            <w:tcW w:w="353" w:type="dxa"/>
            <w:tcBorders>
              <w:top w:val="nil"/>
              <w:left w:val="nil"/>
              <w:bottom w:val="nil"/>
              <w:right w:val="nil"/>
            </w:tcBorders>
          </w:tcPr>
          <w:p w:rsidR="00DF26C1" w:rsidRDefault="00DF26C1" w:rsidP="007B6DBD">
            <w:pPr>
              <w:pStyle w:val="TableParagraph"/>
              <w:kinsoku w:val="0"/>
              <w:overflowPunct w:val="0"/>
              <w:spacing w:before="9"/>
              <w:ind w:left="113"/>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4.7</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9"/>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spacing w:before="9"/>
              <w:ind w:left="107"/>
            </w:pPr>
            <w:r>
              <w:rPr>
                <w:rFonts w:ascii="Arial" w:hAnsi="Arial" w:cs="Arial"/>
                <w:w w:val="105"/>
                <w:sz w:val="9"/>
                <w:szCs w:val="9"/>
              </w:rPr>
              <w:t>2,4</w:t>
            </w:r>
          </w:p>
        </w:tc>
        <w:tc>
          <w:tcPr>
            <w:tcW w:w="261" w:type="dxa"/>
            <w:tcBorders>
              <w:top w:val="nil"/>
              <w:left w:val="nil"/>
              <w:bottom w:val="nil"/>
              <w:right w:val="nil"/>
            </w:tcBorders>
          </w:tcPr>
          <w:p w:rsidR="00DF26C1" w:rsidRDefault="00DF26C1" w:rsidP="007B6DBD">
            <w:pPr>
              <w:pStyle w:val="TableParagraph"/>
              <w:kinsoku w:val="0"/>
              <w:overflowPunct w:val="0"/>
              <w:spacing w:before="9"/>
              <w:ind w:left="109"/>
            </w:pPr>
            <w:r>
              <w:rPr>
                <w:rFonts w:ascii="Arial" w:hAnsi="Arial" w:cs="Arial"/>
                <w:w w:val="105"/>
                <w:sz w:val="9"/>
                <w:szCs w:val="9"/>
              </w:rPr>
              <w:t>5,6</w:t>
            </w:r>
          </w:p>
        </w:tc>
        <w:tc>
          <w:tcPr>
            <w:tcW w:w="278" w:type="dxa"/>
            <w:tcBorders>
              <w:top w:val="nil"/>
              <w:left w:val="nil"/>
              <w:bottom w:val="nil"/>
              <w:right w:val="nil"/>
            </w:tcBorders>
          </w:tcPr>
          <w:p w:rsidR="00DF26C1" w:rsidRDefault="00DF26C1" w:rsidP="007B6DBD">
            <w:pPr>
              <w:pStyle w:val="TableParagraph"/>
              <w:kinsoku w:val="0"/>
              <w:overflowPunct w:val="0"/>
              <w:spacing w:before="9"/>
              <w:ind w:left="54"/>
            </w:pPr>
            <w:r>
              <w:rPr>
                <w:rFonts w:ascii="Arial" w:hAnsi="Arial" w:cs="Arial"/>
                <w:w w:val="105"/>
                <w:sz w:val="9"/>
                <w:szCs w:val="9"/>
              </w:rPr>
              <w:t>2,88</w:t>
            </w:r>
          </w:p>
        </w:tc>
        <w:tc>
          <w:tcPr>
            <w:tcW w:w="237" w:type="dxa"/>
            <w:tcBorders>
              <w:top w:val="nil"/>
              <w:left w:val="nil"/>
              <w:bottom w:val="nil"/>
              <w:right w:val="nil"/>
            </w:tcBorders>
          </w:tcPr>
          <w:p w:rsidR="00DF26C1" w:rsidRDefault="00DF26C1" w:rsidP="007B6DBD">
            <w:pPr>
              <w:pStyle w:val="TableParagraph"/>
              <w:kinsoku w:val="0"/>
              <w:overflowPunct w:val="0"/>
              <w:spacing w:before="9"/>
              <w:ind w:left="79"/>
            </w:pPr>
            <w:r>
              <w:rPr>
                <w:rFonts w:ascii="Arial" w:hAnsi="Arial" w:cs="Arial"/>
                <w:w w:val="105"/>
                <w:sz w:val="9"/>
                <w:szCs w:val="9"/>
              </w:rPr>
              <w:t>3,9</w:t>
            </w:r>
          </w:p>
        </w:tc>
        <w:tc>
          <w:tcPr>
            <w:tcW w:w="296" w:type="dxa"/>
            <w:tcBorders>
              <w:top w:val="nil"/>
              <w:left w:val="nil"/>
              <w:bottom w:val="nil"/>
              <w:right w:val="nil"/>
            </w:tcBorders>
          </w:tcPr>
          <w:p w:rsidR="00DF26C1" w:rsidRDefault="00DF26C1" w:rsidP="007B6DBD">
            <w:pPr>
              <w:pStyle w:val="TableParagraph"/>
              <w:kinsoku w:val="0"/>
              <w:overflowPunct w:val="0"/>
              <w:spacing w:before="9"/>
              <w:ind w:left="81"/>
            </w:pPr>
            <w:r>
              <w:rPr>
                <w:rFonts w:ascii="Arial" w:hAnsi="Arial" w:cs="Arial"/>
                <w:w w:val="105"/>
                <w:sz w:val="9"/>
                <w:szCs w:val="9"/>
              </w:rPr>
              <w:t>0,24</w:t>
            </w:r>
          </w:p>
        </w:tc>
        <w:tc>
          <w:tcPr>
            <w:tcW w:w="274" w:type="dxa"/>
            <w:tcBorders>
              <w:top w:val="nil"/>
              <w:left w:val="nil"/>
              <w:bottom w:val="nil"/>
              <w:right w:val="nil"/>
            </w:tcBorders>
          </w:tcPr>
          <w:p w:rsidR="00DF26C1" w:rsidRDefault="00DF26C1" w:rsidP="007B6DBD">
            <w:pPr>
              <w:pStyle w:val="TableParagraph"/>
              <w:kinsoku w:val="0"/>
              <w:overflowPunct w:val="0"/>
              <w:spacing w:before="9"/>
              <w:ind w:left="64"/>
            </w:pPr>
            <w:r>
              <w:rPr>
                <w:rFonts w:ascii="Arial" w:hAnsi="Arial" w:cs="Arial"/>
                <w:w w:val="105"/>
                <w:sz w:val="9"/>
                <w:szCs w:val="9"/>
              </w:rPr>
              <w:t>1,88</w:t>
            </w:r>
          </w:p>
        </w:tc>
        <w:tc>
          <w:tcPr>
            <w:tcW w:w="350" w:type="dxa"/>
            <w:tcBorders>
              <w:top w:val="nil"/>
              <w:left w:val="nil"/>
              <w:bottom w:val="nil"/>
              <w:right w:val="nil"/>
            </w:tcBorders>
          </w:tcPr>
          <w:p w:rsidR="00DF26C1" w:rsidRDefault="00DF26C1" w:rsidP="007B6DBD">
            <w:pPr>
              <w:pStyle w:val="TableParagraph"/>
              <w:kinsoku w:val="0"/>
              <w:overflowPunct w:val="0"/>
              <w:spacing w:before="9"/>
              <w:ind w:left="83"/>
            </w:pPr>
            <w:r>
              <w:rPr>
                <w:rFonts w:ascii="Arial" w:hAnsi="Arial" w:cs="Arial"/>
                <w:w w:val="105"/>
                <w:sz w:val="9"/>
                <w:szCs w:val="9"/>
              </w:rPr>
              <w:t>99,62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9"/>
              <w:ind w:left="59"/>
            </w:pPr>
            <w:r>
              <w:rPr>
                <w:rFonts w:ascii="Arial" w:hAnsi="Arial" w:cs="Arial"/>
                <w:w w:val="105"/>
                <w:sz w:val="9"/>
                <w:szCs w:val="9"/>
              </w:rPr>
              <w:t>191</w:t>
            </w:r>
          </w:p>
        </w:tc>
        <w:tc>
          <w:tcPr>
            <w:tcW w:w="253" w:type="dxa"/>
            <w:tcBorders>
              <w:top w:val="nil"/>
              <w:left w:val="nil"/>
              <w:bottom w:val="nil"/>
              <w:right w:val="nil"/>
            </w:tcBorders>
          </w:tcPr>
          <w:p w:rsidR="00DF26C1" w:rsidRDefault="00DF26C1" w:rsidP="007B6DBD">
            <w:pPr>
              <w:pStyle w:val="TableParagraph"/>
              <w:kinsoku w:val="0"/>
              <w:overflowPunct w:val="0"/>
              <w:spacing w:before="9"/>
              <w:ind w:left="70"/>
            </w:pPr>
            <w:r>
              <w:rPr>
                <w:rFonts w:ascii="Arial" w:hAnsi="Arial" w:cs="Arial"/>
                <w:w w:val="105"/>
                <w:sz w:val="9"/>
                <w:szCs w:val="9"/>
              </w:rPr>
              <w:t>380</w:t>
            </w:r>
          </w:p>
        </w:tc>
        <w:tc>
          <w:tcPr>
            <w:tcW w:w="245" w:type="dxa"/>
            <w:tcBorders>
              <w:top w:val="nil"/>
              <w:left w:val="nil"/>
              <w:bottom w:val="nil"/>
              <w:right w:val="nil"/>
            </w:tcBorders>
          </w:tcPr>
          <w:p w:rsidR="00DF26C1" w:rsidRDefault="00DF26C1" w:rsidP="007B6DBD">
            <w:pPr>
              <w:pStyle w:val="TableParagraph"/>
              <w:kinsoku w:val="0"/>
              <w:overflowPunct w:val="0"/>
              <w:spacing w:before="9"/>
              <w:ind w:left="115"/>
            </w:pPr>
            <w:r>
              <w:rPr>
                <w:rFonts w:ascii="Arial" w:hAnsi="Arial" w:cs="Arial"/>
                <w:w w:val="105"/>
                <w:sz w:val="9"/>
                <w:szCs w:val="9"/>
              </w:rPr>
              <w:t>21</w:t>
            </w:r>
          </w:p>
        </w:tc>
        <w:tc>
          <w:tcPr>
            <w:tcW w:w="259" w:type="dxa"/>
            <w:tcBorders>
              <w:top w:val="nil"/>
              <w:left w:val="nil"/>
              <w:bottom w:val="nil"/>
              <w:right w:val="nil"/>
            </w:tcBorders>
          </w:tcPr>
          <w:p w:rsidR="00DF26C1" w:rsidRDefault="00DF26C1" w:rsidP="007B6DBD">
            <w:pPr>
              <w:pStyle w:val="TableParagraph"/>
              <w:kinsoku w:val="0"/>
              <w:overflowPunct w:val="0"/>
              <w:spacing w:before="9"/>
              <w:ind w:left="76"/>
            </w:pPr>
            <w:r>
              <w:rPr>
                <w:rFonts w:ascii="Arial" w:hAnsi="Arial" w:cs="Arial"/>
                <w:w w:val="105"/>
                <w:sz w:val="9"/>
                <w:szCs w:val="9"/>
              </w:rPr>
              <w:t>203</w:t>
            </w:r>
          </w:p>
        </w:tc>
        <w:tc>
          <w:tcPr>
            <w:tcW w:w="223" w:type="dxa"/>
            <w:tcBorders>
              <w:top w:val="nil"/>
              <w:left w:val="nil"/>
              <w:bottom w:val="nil"/>
              <w:right w:val="nil"/>
            </w:tcBorders>
          </w:tcPr>
          <w:p w:rsidR="00DF26C1" w:rsidRDefault="00DF26C1" w:rsidP="007B6DBD">
            <w:pPr>
              <w:pStyle w:val="TableParagraph"/>
              <w:kinsoku w:val="0"/>
              <w:overflowPunct w:val="0"/>
              <w:spacing w:before="9"/>
              <w:ind w:left="63"/>
            </w:pPr>
            <w:r>
              <w:rPr>
                <w:rFonts w:ascii="Arial" w:hAnsi="Arial" w:cs="Arial"/>
                <w:w w:val="105"/>
                <w:sz w:val="9"/>
                <w:szCs w:val="9"/>
              </w:rPr>
              <w:t>18</w:t>
            </w:r>
          </w:p>
        </w:tc>
        <w:tc>
          <w:tcPr>
            <w:tcW w:w="281" w:type="dxa"/>
            <w:tcBorders>
              <w:top w:val="nil"/>
              <w:left w:val="nil"/>
              <w:bottom w:val="nil"/>
              <w:right w:val="nil"/>
            </w:tcBorders>
          </w:tcPr>
          <w:p w:rsidR="00DF26C1" w:rsidRDefault="00DF26C1" w:rsidP="007B6DBD">
            <w:pPr>
              <w:pStyle w:val="TableParagraph"/>
              <w:kinsoku w:val="0"/>
              <w:overflowPunct w:val="0"/>
              <w:spacing w:before="9"/>
              <w:ind w:left="46"/>
            </w:pPr>
            <w:r>
              <w:rPr>
                <w:rFonts w:ascii="Arial" w:hAnsi="Arial" w:cs="Arial"/>
                <w:w w:val="105"/>
                <w:sz w:val="9"/>
                <w:szCs w:val="9"/>
              </w:rPr>
              <w:t>1531</w:t>
            </w:r>
          </w:p>
        </w:tc>
        <w:tc>
          <w:tcPr>
            <w:tcW w:w="231" w:type="dxa"/>
            <w:tcBorders>
              <w:top w:val="nil"/>
              <w:left w:val="nil"/>
              <w:bottom w:val="nil"/>
              <w:right w:val="nil"/>
            </w:tcBorders>
          </w:tcPr>
          <w:p w:rsidR="00DF26C1" w:rsidRDefault="00DF26C1" w:rsidP="007B6DBD">
            <w:pPr>
              <w:pStyle w:val="TableParagraph"/>
              <w:kinsoku w:val="0"/>
              <w:overflowPunct w:val="0"/>
              <w:spacing w:before="9"/>
              <w:ind w:left="101"/>
            </w:pPr>
            <w:r>
              <w:rPr>
                <w:rFonts w:ascii="Arial" w:hAnsi="Arial" w:cs="Arial"/>
                <w:w w:val="105"/>
                <w:sz w:val="9"/>
                <w:szCs w:val="9"/>
              </w:rPr>
              <w:t>19</w:t>
            </w:r>
          </w:p>
        </w:tc>
        <w:tc>
          <w:tcPr>
            <w:tcW w:w="255" w:type="dxa"/>
            <w:tcBorders>
              <w:top w:val="nil"/>
              <w:left w:val="nil"/>
              <w:bottom w:val="nil"/>
              <w:right w:val="nil"/>
            </w:tcBorders>
          </w:tcPr>
          <w:p w:rsidR="00DF26C1" w:rsidRDefault="00DF26C1" w:rsidP="007B6DBD">
            <w:pPr>
              <w:pStyle w:val="TableParagraph"/>
              <w:kinsoku w:val="0"/>
              <w:overflowPunct w:val="0"/>
              <w:spacing w:before="9"/>
              <w:ind w:left="107"/>
            </w:pPr>
            <w:r>
              <w:rPr>
                <w:rFonts w:ascii="Arial" w:hAnsi="Arial" w:cs="Arial"/>
                <w:w w:val="105"/>
                <w:sz w:val="9"/>
                <w:szCs w:val="9"/>
              </w:rPr>
              <w:t>30</w:t>
            </w:r>
          </w:p>
        </w:tc>
        <w:tc>
          <w:tcPr>
            <w:tcW w:w="302" w:type="dxa"/>
            <w:tcBorders>
              <w:top w:val="nil"/>
              <w:left w:val="nil"/>
              <w:bottom w:val="nil"/>
              <w:right w:val="nil"/>
            </w:tcBorders>
          </w:tcPr>
          <w:p w:rsidR="00DF26C1" w:rsidRDefault="00DF26C1" w:rsidP="007B6DBD">
            <w:pPr>
              <w:pStyle w:val="TableParagraph"/>
              <w:kinsoku w:val="0"/>
              <w:overflowPunct w:val="0"/>
              <w:spacing w:before="9"/>
              <w:ind w:left="172"/>
            </w:pPr>
            <w:r>
              <w:rPr>
                <w:rFonts w:ascii="Arial" w:hAnsi="Arial" w:cs="Arial"/>
                <w:w w:val="105"/>
                <w:sz w:val="9"/>
                <w:szCs w:val="9"/>
              </w:rPr>
              <w:t>55</w:t>
            </w:r>
          </w:p>
        </w:tc>
        <w:tc>
          <w:tcPr>
            <w:tcW w:w="259" w:type="dxa"/>
            <w:tcBorders>
              <w:top w:val="nil"/>
              <w:left w:val="nil"/>
              <w:bottom w:val="nil"/>
              <w:right w:val="nil"/>
            </w:tcBorders>
          </w:tcPr>
          <w:p w:rsidR="00DF26C1" w:rsidRDefault="00DF26C1" w:rsidP="007B6DBD">
            <w:pPr>
              <w:pStyle w:val="TableParagraph"/>
              <w:kinsoku w:val="0"/>
              <w:overflowPunct w:val="0"/>
              <w:spacing w:before="9"/>
              <w:ind w:left="129"/>
            </w:pPr>
            <w:r>
              <w:rPr>
                <w:rFonts w:ascii="Arial" w:hAnsi="Arial" w:cs="Arial"/>
                <w:w w:val="105"/>
                <w:sz w:val="9"/>
                <w:szCs w:val="9"/>
              </w:rPr>
              <w:t>25</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spacing w:before="9"/>
              <w:ind w:left="-11"/>
            </w:pPr>
            <w:r>
              <w:rPr>
                <w:rFonts w:ascii="Arial" w:hAnsi="Arial" w:cs="Arial"/>
                <w:w w:val="105"/>
                <w:sz w:val="9"/>
                <w:szCs w:val="9"/>
              </w:rPr>
              <w:t>4,6</w:t>
            </w:r>
          </w:p>
        </w:tc>
        <w:tc>
          <w:tcPr>
            <w:tcW w:w="250" w:type="dxa"/>
            <w:tcBorders>
              <w:top w:val="nil"/>
              <w:left w:val="nil"/>
              <w:bottom w:val="nil"/>
              <w:right w:val="nil"/>
            </w:tcBorders>
          </w:tcPr>
          <w:p w:rsidR="00DF26C1" w:rsidRDefault="00DF26C1" w:rsidP="007B6DBD">
            <w:pPr>
              <w:pStyle w:val="TableParagraph"/>
              <w:kinsoku w:val="0"/>
              <w:overflowPunct w:val="0"/>
              <w:spacing w:before="9"/>
              <w:ind w:left="93"/>
            </w:pPr>
            <w:r>
              <w:rPr>
                <w:rFonts w:ascii="Arial" w:hAnsi="Arial" w:cs="Arial"/>
                <w:w w:val="105"/>
                <w:sz w:val="9"/>
                <w:szCs w:val="9"/>
              </w:rPr>
              <w:t>1,2</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9"/>
              <w:ind w:left="75"/>
            </w:pPr>
            <w:r>
              <w:rPr>
                <w:rFonts w:ascii="Arial" w:hAnsi="Arial" w:cs="Arial"/>
                <w:w w:val="105"/>
                <w:sz w:val="9"/>
                <w:szCs w:val="9"/>
              </w:rPr>
              <w:t>3,6</w:t>
            </w:r>
          </w:p>
        </w:tc>
        <w:tc>
          <w:tcPr>
            <w:tcW w:w="264" w:type="dxa"/>
            <w:tcBorders>
              <w:top w:val="nil"/>
              <w:left w:val="nil"/>
              <w:bottom w:val="nil"/>
              <w:right w:val="nil"/>
            </w:tcBorders>
          </w:tcPr>
          <w:p w:rsidR="00DF26C1" w:rsidRDefault="00DF26C1" w:rsidP="007B6DBD">
            <w:pPr>
              <w:pStyle w:val="TableParagraph"/>
              <w:kinsoku w:val="0"/>
              <w:overflowPunct w:val="0"/>
              <w:spacing w:before="9"/>
              <w:ind w:left="107"/>
            </w:pPr>
            <w:r>
              <w:rPr>
                <w:rFonts w:ascii="Arial" w:hAnsi="Arial" w:cs="Arial"/>
                <w:w w:val="105"/>
                <w:sz w:val="9"/>
                <w:szCs w:val="9"/>
              </w:rPr>
              <w:t>2,2</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9"/>
              <w:ind w:left="41"/>
            </w:pPr>
            <w:r>
              <w:rPr>
                <w:rFonts w:ascii="Arial" w:hAnsi="Arial" w:cs="Arial"/>
                <w:w w:val="106"/>
                <w:sz w:val="9"/>
                <w:szCs w:val="9"/>
              </w:rPr>
              <w:t>9</w:t>
            </w:r>
          </w:p>
        </w:tc>
        <w:tc>
          <w:tcPr>
            <w:tcW w:w="225" w:type="dxa"/>
            <w:tcBorders>
              <w:top w:val="nil"/>
              <w:left w:val="nil"/>
              <w:bottom w:val="nil"/>
              <w:right w:val="nil"/>
            </w:tcBorders>
          </w:tcPr>
          <w:p w:rsidR="00DF26C1" w:rsidRDefault="00DF26C1" w:rsidP="007B6DBD">
            <w:pPr>
              <w:pStyle w:val="TableParagraph"/>
              <w:kinsoku w:val="0"/>
              <w:overflowPunct w:val="0"/>
              <w:spacing w:before="9"/>
              <w:ind w:left="93"/>
            </w:pPr>
            <w:r>
              <w:rPr>
                <w:rFonts w:ascii="Arial" w:hAnsi="Arial" w:cs="Arial"/>
                <w:w w:val="105"/>
                <w:sz w:val="9"/>
                <w:szCs w:val="9"/>
              </w:rPr>
              <w:t>22</w:t>
            </w:r>
          </w:p>
        </w:tc>
        <w:tc>
          <w:tcPr>
            <w:tcW w:w="625" w:type="dxa"/>
            <w:tcBorders>
              <w:top w:val="nil"/>
              <w:left w:val="nil"/>
              <w:bottom w:val="nil"/>
              <w:right w:val="nil"/>
            </w:tcBorders>
          </w:tcPr>
          <w:p w:rsidR="00DF26C1" w:rsidRDefault="00DF26C1" w:rsidP="007B6DBD">
            <w:pPr>
              <w:pStyle w:val="TableParagraph"/>
              <w:kinsoku w:val="0"/>
              <w:overflowPunct w:val="0"/>
              <w:spacing w:before="9"/>
              <w:ind w:left="255"/>
            </w:pPr>
            <w:r>
              <w:rPr>
                <w:rFonts w:ascii="Arial" w:hAnsi="Arial" w:cs="Arial"/>
                <w:w w:val="105"/>
                <w:sz w:val="9"/>
                <w:szCs w:val="9"/>
              </w:rPr>
              <w:t>0,70764</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9"/>
              <w:ind w:left="193"/>
            </w:pPr>
            <w:r>
              <w:rPr>
                <w:rFonts w:ascii="Arial" w:hAnsi="Arial" w:cs="Arial"/>
                <w:w w:val="105"/>
                <w:sz w:val="9"/>
                <w:szCs w:val="9"/>
              </w:rPr>
              <w:t>0,512413</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Gourougou</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shoshonite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shoshonite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G47</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30</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53,97</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1,05</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17,06</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8.19</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4,9</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8,99</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3,10</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2,95</w:t>
            </w:r>
          </w:p>
        </w:tc>
        <w:tc>
          <w:tcPr>
            <w:tcW w:w="296" w:type="dxa"/>
            <w:tcBorders>
              <w:top w:val="nil"/>
              <w:left w:val="nil"/>
              <w:bottom w:val="nil"/>
              <w:right w:val="nil"/>
            </w:tcBorders>
          </w:tcPr>
          <w:p w:rsidR="00DF26C1" w:rsidRDefault="00DF26C1" w:rsidP="007B6DBD"/>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0,05</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100,36</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118</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564</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26</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124</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33</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913</w:t>
            </w:r>
          </w:p>
        </w:tc>
        <w:tc>
          <w:tcPr>
            <w:tcW w:w="231" w:type="dxa"/>
            <w:tcBorders>
              <w:top w:val="nil"/>
              <w:left w:val="nil"/>
              <w:bottom w:val="nil"/>
              <w:right w:val="nil"/>
            </w:tcBorders>
          </w:tcPr>
          <w:p w:rsidR="00DF26C1" w:rsidRDefault="00DF26C1" w:rsidP="007B6DBD">
            <w:pPr>
              <w:pStyle w:val="TableParagraph"/>
              <w:kinsoku w:val="0"/>
              <w:overflowPunct w:val="0"/>
              <w:spacing w:before="4"/>
              <w:ind w:left="101"/>
            </w:pPr>
            <w:r>
              <w:rPr>
                <w:rFonts w:ascii="Arial" w:hAnsi="Arial" w:cs="Arial"/>
                <w:w w:val="105"/>
                <w:sz w:val="9"/>
                <w:szCs w:val="9"/>
              </w:rPr>
              <w:t>12</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32,4</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63,4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26,1</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4,63</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1,20</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4,06</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3,45</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1,87</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28</w:t>
            </w:r>
          </w:p>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0,704603</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Gourougou</w:t>
            </w:r>
          </w:p>
        </w:tc>
        <w:tc>
          <w:tcPr>
            <w:tcW w:w="503" w:type="dxa"/>
            <w:tcBorders>
              <w:top w:val="nil"/>
              <w:left w:val="nil"/>
              <w:bottom w:val="nil"/>
              <w:right w:val="nil"/>
            </w:tcBorders>
          </w:tcPr>
          <w:p w:rsidR="00DF26C1" w:rsidRDefault="00DF26C1" w:rsidP="007B6DBD"/>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absarokite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G74</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30</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49,70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1,29</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17,10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8.62</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0,10</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4,72</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10,6</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2,98</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2,39</w:t>
            </w:r>
          </w:p>
        </w:tc>
        <w:tc>
          <w:tcPr>
            <w:tcW w:w="296" w:type="dxa"/>
            <w:tcBorders>
              <w:top w:val="nil"/>
              <w:left w:val="nil"/>
              <w:bottom w:val="nil"/>
              <w:right w:val="nil"/>
            </w:tcBorders>
          </w:tcPr>
          <w:p w:rsidR="00DF26C1" w:rsidRDefault="00DF26C1" w:rsidP="007B6DBD"/>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3,02</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100,52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74</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545</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106</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33</w:t>
            </w:r>
          </w:p>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pPr>
              <w:pStyle w:val="TableParagraph"/>
              <w:kinsoku w:val="0"/>
              <w:overflowPunct w:val="0"/>
              <w:spacing w:before="4"/>
              <w:ind w:left="101"/>
            </w:pPr>
            <w:r>
              <w:rPr>
                <w:rFonts w:ascii="Arial" w:hAnsi="Arial" w:cs="Arial"/>
                <w:w w:val="105"/>
                <w:sz w:val="9"/>
                <w:szCs w:val="9"/>
              </w:rPr>
              <w:t>14</w:t>
            </w:r>
          </w:p>
        </w:tc>
        <w:tc>
          <w:tcPr>
            <w:tcW w:w="255"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28,4</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53,4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23,6</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4,35</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1,25</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4,00</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3,46</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1,79</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48</w:t>
            </w:r>
          </w:p>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0,704083</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15854" w:type="dxa"/>
            <w:gridSpan w:val="48"/>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u w:val="single"/>
              </w:rPr>
              <w:t>Algeria</w:t>
            </w:r>
          </w:p>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Sahel</w:t>
            </w:r>
            <w:r>
              <w:rPr>
                <w:rFonts w:ascii="Arial" w:hAnsi="Arial" w:cs="Arial"/>
                <w:spacing w:val="-3"/>
                <w:w w:val="105"/>
                <w:sz w:val="9"/>
                <w:szCs w:val="9"/>
              </w:rPr>
              <w:t xml:space="preserve"> </w:t>
            </w:r>
            <w:r>
              <w:rPr>
                <w:rFonts w:ascii="Arial" w:hAnsi="Arial" w:cs="Arial"/>
                <w:w w:val="105"/>
                <w:sz w:val="9"/>
                <w:szCs w:val="9"/>
              </w:rPr>
              <w:t>d'Oran</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31</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andesite</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201"/>
            </w:pPr>
            <w:r>
              <w:rPr>
                <w:rFonts w:ascii="Arial" w:hAnsi="Arial" w:cs="Arial"/>
                <w:w w:val="105"/>
                <w:sz w:val="9"/>
                <w:szCs w:val="9"/>
              </w:rPr>
              <w:t>dike</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OR10</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29</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56,70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0,68</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14,90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6.97</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0,12</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5,86</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7,47</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3,17</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2,59</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0,21</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1,37</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93,07</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85</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570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141</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7,2</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850</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43</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87</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37</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1,50</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3,90</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2,10</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84</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225</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M'Sirda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32</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dacite/latite</w:t>
            </w:r>
          </w:p>
        </w:tc>
        <w:tc>
          <w:tcPr>
            <w:tcW w:w="559" w:type="dxa"/>
            <w:tcBorders>
              <w:top w:val="nil"/>
              <w:left w:val="nil"/>
              <w:bottom w:val="nil"/>
              <w:right w:val="nil"/>
            </w:tcBorders>
          </w:tcPr>
          <w:p w:rsidR="00DF26C1" w:rsidRDefault="00DF26C1" w:rsidP="007B6DBD">
            <w:pPr>
              <w:pStyle w:val="TableParagraph"/>
              <w:kinsoku w:val="0"/>
              <w:overflowPunct w:val="0"/>
              <w:spacing w:before="4"/>
              <w:ind w:left="167"/>
            </w:pPr>
            <w:r>
              <w:rPr>
                <w:rFonts w:ascii="Arial" w:hAnsi="Arial" w:cs="Arial"/>
                <w:w w:val="105"/>
                <w:sz w:val="9"/>
                <w:szCs w:val="9"/>
              </w:rPr>
              <w:t>dome</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shoshonite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ORbd1</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29</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61,60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0,70</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16,65</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3.51</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0,08</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2,10</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4,56</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2,70</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4,48</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0,41</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2,88</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96,16</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182</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892</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148</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20</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46"/>
            </w:pPr>
            <w:r>
              <w:rPr>
                <w:rFonts w:ascii="Arial" w:hAnsi="Arial" w:cs="Arial"/>
                <w:w w:val="105"/>
                <w:sz w:val="9"/>
                <w:szCs w:val="9"/>
              </w:rPr>
              <w:t>2300</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63</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19"/>
            </w:pPr>
            <w:r>
              <w:rPr>
                <w:rFonts w:ascii="Arial" w:hAnsi="Arial" w:cs="Arial"/>
                <w:w w:val="105"/>
                <w:sz w:val="9"/>
                <w:szCs w:val="9"/>
              </w:rPr>
              <w:t>123</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60</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2,15</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3,90</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1,60</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41"/>
            </w:pPr>
            <w:r>
              <w:rPr>
                <w:rFonts w:ascii="Arial" w:hAnsi="Arial" w:cs="Arial"/>
                <w:w w:val="106"/>
                <w:sz w:val="9"/>
                <w:szCs w:val="9"/>
              </w:rPr>
              <w:t>5</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19</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Middle</w:t>
            </w:r>
            <w:r>
              <w:rPr>
                <w:rFonts w:ascii="Arial" w:hAnsi="Arial" w:cs="Arial"/>
                <w:spacing w:val="-3"/>
                <w:w w:val="105"/>
                <w:sz w:val="9"/>
                <w:szCs w:val="9"/>
              </w:rPr>
              <w:t xml:space="preserve"> </w:t>
            </w:r>
            <w:r>
              <w:rPr>
                <w:rFonts w:ascii="Arial" w:hAnsi="Arial" w:cs="Arial"/>
                <w:w w:val="105"/>
                <w:sz w:val="9"/>
                <w:szCs w:val="9"/>
              </w:rPr>
              <w:t>Tafta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33</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alk.</w:t>
            </w:r>
            <w:r>
              <w:rPr>
                <w:rFonts w:ascii="Arial" w:hAnsi="Arial" w:cs="Arial"/>
                <w:spacing w:val="-7"/>
                <w:w w:val="105"/>
                <w:sz w:val="9"/>
                <w:szCs w:val="9"/>
              </w:rPr>
              <w:t xml:space="preserve"> </w:t>
            </w:r>
            <w:r>
              <w:rPr>
                <w:rFonts w:ascii="Arial" w:hAnsi="Arial" w:cs="Arial"/>
                <w:w w:val="105"/>
                <w:sz w:val="9"/>
                <w:szCs w:val="9"/>
              </w:rPr>
              <w:t>basalt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spacing w:val="-2"/>
                <w:w w:val="105"/>
                <w:sz w:val="9"/>
                <w:szCs w:val="9"/>
              </w:rPr>
              <w:t>Na-alkaline</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OR13</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29</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45,90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1,49</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15,68</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9.50</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0,15</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9,57</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9,25</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3,15</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0,69</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0,48</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3,81</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99,67</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12</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775</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146</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21</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655</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24</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54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31</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1,70</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4"/>
              <w:ind w:left="22"/>
            </w:pPr>
            <w:r>
              <w:rPr>
                <w:rFonts w:ascii="Arial" w:hAnsi="Arial" w:cs="Arial"/>
                <w:w w:val="105"/>
                <w:sz w:val="9"/>
                <w:szCs w:val="9"/>
              </w:rPr>
              <w:t>3,40</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1,63</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165</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291</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Dellys</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19</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tholeiite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th/CA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DLDR</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46,90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0,76</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0,68</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9.30</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0,16</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9,00</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10,7</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1,88</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0,36</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0,13</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5,18</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100,52</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
              <w:jc w:val="center"/>
            </w:pPr>
            <w:r>
              <w:rPr>
                <w:rFonts w:ascii="Arial" w:hAnsi="Arial" w:cs="Arial"/>
                <w:w w:val="106"/>
                <w:sz w:val="9"/>
                <w:szCs w:val="9"/>
              </w:rPr>
              <w:t>5</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200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18</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46</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3</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151"/>
            </w:pPr>
            <w:r>
              <w:rPr>
                <w:rFonts w:ascii="Arial" w:hAnsi="Arial" w:cs="Arial"/>
                <w:w w:val="105"/>
                <w:sz w:val="9"/>
                <w:szCs w:val="9"/>
              </w:rPr>
              <w:t>77</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6"/>
                <w:sz w:val="9"/>
                <w:szCs w:val="9"/>
              </w:rPr>
              <w:t>5</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12</w:t>
            </w:r>
          </w:p>
        </w:tc>
        <w:tc>
          <w:tcPr>
            <w:tcW w:w="259" w:type="dxa"/>
            <w:tcBorders>
              <w:top w:val="nil"/>
              <w:left w:val="nil"/>
              <w:bottom w:val="nil"/>
              <w:right w:val="nil"/>
            </w:tcBorders>
          </w:tcPr>
          <w:p w:rsidR="00DF26C1" w:rsidRDefault="00DF26C1" w:rsidP="007B6DBD">
            <w:pPr>
              <w:pStyle w:val="TableParagraph"/>
              <w:kinsoku w:val="0"/>
              <w:overflowPunct w:val="0"/>
              <w:spacing w:before="4"/>
              <w:ind w:right="21"/>
              <w:jc w:val="right"/>
            </w:pPr>
            <w:r>
              <w:rPr>
                <w:rFonts w:ascii="Arial" w:hAnsi="Arial" w:cs="Arial"/>
                <w:w w:val="106"/>
                <w:sz w:val="9"/>
                <w:szCs w:val="9"/>
              </w:rPr>
              <w:t>7</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0,8</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2,8</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1,7</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94</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214</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Dellys</w:t>
            </w:r>
          </w:p>
        </w:tc>
        <w:tc>
          <w:tcPr>
            <w:tcW w:w="503" w:type="dxa"/>
            <w:tcBorders>
              <w:top w:val="nil"/>
              <w:left w:val="nil"/>
              <w:bottom w:val="nil"/>
              <w:right w:val="nil"/>
            </w:tcBorders>
          </w:tcPr>
          <w:p w:rsidR="00DF26C1" w:rsidRDefault="00DF26C1" w:rsidP="007B6DBD"/>
        </w:tc>
        <w:tc>
          <w:tcPr>
            <w:tcW w:w="1183" w:type="dxa"/>
            <w:gridSpan w:val="2"/>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spacing w:val="-2"/>
                <w:w w:val="105"/>
                <w:sz w:val="9"/>
                <w:szCs w:val="9"/>
              </w:rPr>
              <w:t>basaltic</w:t>
            </w:r>
            <w:r>
              <w:rPr>
                <w:rFonts w:ascii="Arial" w:hAnsi="Arial" w:cs="Arial"/>
                <w:spacing w:val="18"/>
                <w:w w:val="105"/>
                <w:sz w:val="9"/>
                <w:szCs w:val="9"/>
              </w:rPr>
              <w:t xml:space="preserve"> </w:t>
            </w:r>
            <w:r>
              <w:rPr>
                <w:rFonts w:ascii="Arial" w:hAnsi="Arial" w:cs="Arial"/>
                <w:spacing w:val="-2"/>
                <w:w w:val="105"/>
                <w:sz w:val="9"/>
                <w:szCs w:val="9"/>
              </w:rPr>
              <w:t>andesite</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low-K</w:t>
            </w:r>
            <w:r>
              <w:rPr>
                <w:rFonts w:ascii="Arial" w:hAnsi="Arial" w:cs="Arial"/>
                <w:spacing w:val="1"/>
                <w:w w:val="105"/>
                <w:sz w:val="9"/>
                <w:szCs w:val="9"/>
              </w:rPr>
              <w:t xml:space="preserve"> </w:t>
            </w:r>
            <w:r>
              <w:rPr>
                <w:rFonts w:ascii="Arial" w:hAnsi="Arial" w:cs="Arial"/>
                <w:w w:val="105"/>
                <w:sz w:val="9"/>
                <w:szCs w:val="9"/>
              </w:rPr>
              <w:t>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DLBO</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55,70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0,98</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18,00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7.76</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0,27</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2,81</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8,02</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3,50</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0,46</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0,10</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1,99</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99,69</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71"/>
            </w:pPr>
            <w:r>
              <w:rPr>
                <w:rFonts w:ascii="Arial" w:hAnsi="Arial" w:cs="Arial"/>
                <w:w w:val="105"/>
                <w:sz w:val="9"/>
                <w:szCs w:val="9"/>
              </w:rPr>
              <w:t>4,1</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400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26</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84</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3,7</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127</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9,1</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21</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13</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1,1</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4"/>
              <w:ind w:left="154"/>
            </w:pPr>
            <w:r>
              <w:rPr>
                <w:rFonts w:ascii="Arial" w:hAnsi="Arial" w:cs="Arial"/>
                <w:w w:val="106"/>
                <w:sz w:val="9"/>
                <w:szCs w:val="9"/>
              </w:rPr>
              <w:t>4</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2,45</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33</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18</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Cap Djinet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36</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basalt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DJ1</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46,30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0,78</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16,80</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13"/>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9.4</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0,13</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8,70</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10,5</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2,58</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0,64</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0,19</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4,21</w:t>
            </w:r>
          </w:p>
        </w:tc>
        <w:tc>
          <w:tcPr>
            <w:tcW w:w="350"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45"/>
            </w:pPr>
            <w:r>
              <w:rPr>
                <w:rFonts w:ascii="Arial" w:hAnsi="Arial" w:cs="Arial"/>
                <w:w w:val="105"/>
                <w:sz w:val="9"/>
                <w:szCs w:val="9"/>
              </w:rPr>
              <w:t>12,1</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340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17</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41</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2,5</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106</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6"/>
                <w:sz w:val="9"/>
                <w:szCs w:val="9"/>
              </w:rPr>
              <w:t>5</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12</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02"/>
            </w:pPr>
            <w:r>
              <w:rPr>
                <w:rFonts w:ascii="Arial" w:hAnsi="Arial" w:cs="Arial"/>
                <w:w w:val="105"/>
                <w:sz w:val="9"/>
                <w:szCs w:val="9"/>
              </w:rPr>
              <w:t>8,5</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0,8</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2,5</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1,4</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102</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250</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Cap Djinet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
              <w:jc w:val="center"/>
            </w:pPr>
            <w:r>
              <w:rPr>
                <w:rFonts w:ascii="Arial" w:hAnsi="Arial" w:cs="Arial"/>
                <w:w w:val="106"/>
                <w:sz w:val="9"/>
                <w:szCs w:val="9"/>
              </w:rPr>
              <w:t>"</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6"/>
                <w:sz w:val="9"/>
                <w:szCs w:val="9"/>
              </w:rPr>
              <w: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DJ2</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47,80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1,00</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17,15</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113"/>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9.9</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0,16</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6,55</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9,35</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3,35</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26"/>
            </w:pPr>
            <w:r>
              <w:rPr>
                <w:rFonts w:ascii="Arial" w:hAnsi="Arial" w:cs="Arial"/>
                <w:w w:val="105"/>
                <w:sz w:val="9"/>
                <w:szCs w:val="9"/>
              </w:rPr>
              <w:t>0,38</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0,19</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3,82</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99,65</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71"/>
            </w:pPr>
            <w:r>
              <w:rPr>
                <w:rFonts w:ascii="Arial" w:hAnsi="Arial" w:cs="Arial"/>
                <w:w w:val="105"/>
                <w:sz w:val="9"/>
                <w:szCs w:val="9"/>
              </w:rPr>
              <w:t>6,7</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360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22</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68</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4,1</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113</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8,4</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19</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11,5</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1,1</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3,5</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1,95</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44</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109</w:t>
            </w:r>
          </w:p>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Thenia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1"/>
            </w:pPr>
            <w:r>
              <w:rPr>
                <w:rFonts w:ascii="Arial" w:hAnsi="Arial" w:cs="Arial"/>
                <w:w w:val="105"/>
                <w:sz w:val="9"/>
                <w:szCs w:val="9"/>
              </w:rPr>
              <w:t>10a</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granodiorite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T22</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65"/>
            </w:pPr>
            <w:r>
              <w:rPr>
                <w:rFonts w:ascii="Arial" w:hAnsi="Arial" w:cs="Arial"/>
                <w:w w:val="105"/>
                <w:sz w:val="9"/>
                <w:szCs w:val="9"/>
              </w:rPr>
              <w:t>Bu/La</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64,20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0,45</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16,6</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4.41</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0,04</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2,4</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3,96</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2,67</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3,4</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0,15</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117"/>
            </w:pPr>
            <w:r>
              <w:rPr>
                <w:rFonts w:ascii="Arial" w:hAnsi="Arial" w:cs="Arial"/>
                <w:w w:val="105"/>
                <w:sz w:val="9"/>
                <w:szCs w:val="9"/>
              </w:rPr>
              <w:t>1,3</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99,55</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245</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192</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100</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7,4</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235</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18</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33</w:t>
            </w:r>
          </w:p>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0,9</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2,6</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1,15</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19</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62</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0,714908</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5"/>
                <w:sz w:val="9"/>
                <w:szCs w:val="9"/>
              </w:rPr>
              <w:t>0,714070</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0,512198</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Thenia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81"/>
            </w:pPr>
            <w:r>
              <w:rPr>
                <w:rFonts w:ascii="Arial" w:hAnsi="Arial" w:cs="Arial"/>
                <w:w w:val="105"/>
                <w:sz w:val="9"/>
                <w:szCs w:val="9"/>
              </w:rPr>
              <w:t>10a</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rhyolite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T36</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28</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73,20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0,18</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12,95</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1.73</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0,01</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0,4</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0,61</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1,91</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6,3</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0,03</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1,35</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98,85</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296</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123"/>
            </w:pPr>
            <w:r>
              <w:rPr>
                <w:rFonts w:ascii="Arial" w:hAnsi="Arial" w:cs="Arial"/>
                <w:w w:val="105"/>
                <w:sz w:val="9"/>
                <w:szCs w:val="9"/>
              </w:rPr>
              <w:t>43</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73</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9"/>
              <w:jc w:val="center"/>
            </w:pPr>
            <w:r>
              <w:rPr>
                <w:rFonts w:ascii="Arial" w:hAnsi="Arial" w:cs="Arial"/>
                <w:w w:val="106"/>
                <w:sz w:val="9"/>
                <w:szCs w:val="9"/>
              </w:rPr>
              <w:t>9</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361</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21</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30</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29"/>
            </w:pPr>
            <w:r>
              <w:rPr>
                <w:rFonts w:ascii="Arial" w:hAnsi="Arial" w:cs="Arial"/>
                <w:w w:val="105"/>
                <w:sz w:val="9"/>
                <w:szCs w:val="9"/>
              </w:rPr>
              <w:t>16</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0,5</w:t>
            </w:r>
          </w:p>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2,7</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1,35</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41"/>
            </w:pPr>
            <w:r>
              <w:rPr>
                <w:rFonts w:ascii="Arial" w:hAnsi="Arial" w:cs="Arial"/>
                <w:w w:val="106"/>
                <w:sz w:val="9"/>
                <w:szCs w:val="9"/>
              </w:rPr>
              <w:t>2</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145"/>
            </w:pPr>
            <w:r>
              <w:rPr>
                <w:rFonts w:ascii="Arial" w:hAnsi="Arial" w:cs="Arial"/>
                <w:w w:val="106"/>
                <w:sz w:val="9"/>
                <w:szCs w:val="9"/>
              </w:rPr>
              <w:t>3</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0,712702</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5"/>
                <w:sz w:val="9"/>
                <w:szCs w:val="9"/>
              </w:rPr>
              <w:t>0,708174</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0,512345</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1"/>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Bejaia-Amizour</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11</w:t>
            </w:r>
          </w:p>
        </w:tc>
        <w:tc>
          <w:tcPr>
            <w:tcW w:w="1183" w:type="dxa"/>
            <w:gridSpan w:val="2"/>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quartz-monzonite</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hK-CA/sho</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A12</w:t>
            </w:r>
          </w:p>
        </w:tc>
        <w:tc>
          <w:tcPr>
            <w:tcW w:w="437" w:type="dxa"/>
            <w:tcBorders>
              <w:top w:val="nil"/>
              <w:left w:val="nil"/>
              <w:bottom w:val="nil"/>
              <w:right w:val="nil"/>
            </w:tcBorders>
          </w:tcPr>
          <w:p w:rsidR="00DF26C1" w:rsidRDefault="00DF26C1" w:rsidP="007B6DBD">
            <w:pPr>
              <w:pStyle w:val="TableParagraph"/>
              <w:kinsoku w:val="0"/>
              <w:overflowPunct w:val="0"/>
              <w:spacing w:before="11"/>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62,00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0,69</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16,1</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5.55</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0,33</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1,4</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1,98</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4,28</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5,1</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0,16</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1,66</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99,26</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tc>
        <w:tc>
          <w:tcPr>
            <w:tcW w:w="253" w:type="dxa"/>
            <w:tcBorders>
              <w:top w:val="nil"/>
              <w:left w:val="nil"/>
              <w:bottom w:val="nil"/>
              <w:right w:val="nil"/>
            </w:tcBorders>
          </w:tcPr>
          <w:p w:rsidR="00DF26C1" w:rsidRDefault="00DF26C1" w:rsidP="007B6DBD"/>
        </w:tc>
        <w:tc>
          <w:tcPr>
            <w:tcW w:w="245"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0,709744</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5"/>
                <w:sz w:val="9"/>
                <w:szCs w:val="9"/>
              </w:rPr>
              <w:t>0,708778</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0,512535</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4"/>
        </w:trPr>
        <w:tc>
          <w:tcPr>
            <w:tcW w:w="921" w:type="dxa"/>
            <w:tcBorders>
              <w:top w:val="nil"/>
              <w:left w:val="nil"/>
              <w:bottom w:val="nil"/>
              <w:right w:val="nil"/>
            </w:tcBorders>
          </w:tcPr>
          <w:p w:rsidR="00DF26C1" w:rsidRDefault="00DF26C1" w:rsidP="007B6DBD">
            <w:pPr>
              <w:pStyle w:val="TableParagraph"/>
              <w:kinsoku w:val="0"/>
              <w:overflowPunct w:val="0"/>
              <w:ind w:left="23"/>
            </w:pPr>
            <w:r>
              <w:rPr>
                <w:rFonts w:ascii="Arial" w:hAnsi="Arial" w:cs="Arial"/>
                <w:w w:val="105"/>
                <w:sz w:val="9"/>
                <w:szCs w:val="9"/>
              </w:rPr>
              <w:t>Bejaia-Amizour</w:t>
            </w:r>
          </w:p>
        </w:tc>
        <w:tc>
          <w:tcPr>
            <w:tcW w:w="503" w:type="dxa"/>
            <w:tcBorders>
              <w:top w:val="nil"/>
              <w:left w:val="nil"/>
              <w:bottom w:val="nil"/>
              <w:right w:val="nil"/>
            </w:tcBorders>
          </w:tcPr>
          <w:p w:rsidR="00DF26C1" w:rsidRDefault="00DF26C1" w:rsidP="007B6DBD">
            <w:pPr>
              <w:pStyle w:val="TableParagraph"/>
              <w:kinsoku w:val="0"/>
              <w:overflowPunct w:val="0"/>
              <w:ind w:left="17"/>
              <w:jc w:val="center"/>
            </w:pPr>
            <w:r>
              <w:rPr>
                <w:rFonts w:ascii="Arial" w:hAnsi="Arial" w:cs="Arial"/>
                <w:w w:val="105"/>
                <w:sz w:val="9"/>
                <w:szCs w:val="9"/>
              </w:rPr>
              <w:t>11</w:t>
            </w:r>
          </w:p>
        </w:tc>
        <w:tc>
          <w:tcPr>
            <w:tcW w:w="624" w:type="dxa"/>
            <w:tcBorders>
              <w:top w:val="nil"/>
              <w:left w:val="nil"/>
              <w:bottom w:val="nil"/>
              <w:right w:val="nil"/>
            </w:tcBorders>
          </w:tcPr>
          <w:p w:rsidR="00DF26C1" w:rsidRDefault="00DF26C1" w:rsidP="007B6DBD">
            <w:pPr>
              <w:pStyle w:val="TableParagraph"/>
              <w:kinsoku w:val="0"/>
              <w:overflowPunct w:val="0"/>
              <w:ind w:left="16"/>
            </w:pPr>
            <w:r>
              <w:rPr>
                <w:rFonts w:ascii="Arial" w:hAnsi="Arial" w:cs="Arial"/>
                <w:w w:val="105"/>
                <w:sz w:val="9"/>
                <w:szCs w:val="9"/>
              </w:rPr>
              <w:t>granite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ind w:left="6"/>
            </w:pPr>
            <w:r>
              <w:rPr>
                <w:rFonts w:ascii="Arial" w:hAnsi="Arial" w:cs="Arial"/>
                <w:w w:val="105"/>
                <w:sz w:val="9"/>
                <w:szCs w:val="9"/>
              </w:rPr>
              <w:t>A1</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ind w:left="112"/>
            </w:pPr>
            <w:r>
              <w:rPr>
                <w:rFonts w:ascii="Arial" w:hAnsi="Arial" w:cs="Arial"/>
                <w:w w:val="105"/>
                <w:sz w:val="9"/>
                <w:szCs w:val="9"/>
              </w:rPr>
              <w:t>32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ind w:left="31"/>
            </w:pPr>
            <w:r>
              <w:rPr>
                <w:rFonts w:ascii="Arial" w:hAnsi="Arial" w:cs="Arial"/>
                <w:w w:val="105"/>
                <w:sz w:val="9"/>
                <w:szCs w:val="9"/>
              </w:rPr>
              <w:t>68,20</w:t>
            </w:r>
          </w:p>
        </w:tc>
        <w:tc>
          <w:tcPr>
            <w:tcW w:w="293"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0,42</w:t>
            </w:r>
          </w:p>
        </w:tc>
        <w:tc>
          <w:tcPr>
            <w:tcW w:w="308" w:type="dxa"/>
            <w:tcBorders>
              <w:top w:val="nil"/>
              <w:left w:val="nil"/>
              <w:bottom w:val="nil"/>
              <w:right w:val="nil"/>
            </w:tcBorders>
          </w:tcPr>
          <w:p w:rsidR="00DF26C1" w:rsidRDefault="00DF26C1" w:rsidP="007B6DBD">
            <w:pPr>
              <w:pStyle w:val="TableParagraph"/>
              <w:kinsoku w:val="0"/>
              <w:overflowPunct w:val="0"/>
              <w:ind w:left="57"/>
            </w:pPr>
            <w:r>
              <w:rPr>
                <w:rFonts w:ascii="Arial" w:hAnsi="Arial" w:cs="Arial"/>
                <w:w w:val="105"/>
                <w:sz w:val="9"/>
                <w:szCs w:val="9"/>
              </w:rPr>
              <w:t>14,85</w:t>
            </w:r>
          </w:p>
        </w:tc>
        <w:tc>
          <w:tcPr>
            <w:tcW w:w="353" w:type="dxa"/>
            <w:tcBorders>
              <w:top w:val="nil"/>
              <w:left w:val="nil"/>
              <w:bottom w:val="nil"/>
              <w:right w:val="nil"/>
            </w:tcBorders>
          </w:tcPr>
          <w:p w:rsidR="00DF26C1" w:rsidRDefault="00DF26C1" w:rsidP="007B6DBD">
            <w:pPr>
              <w:pStyle w:val="TableParagraph"/>
              <w:kinsoku w:val="0"/>
              <w:overflowPunct w:val="0"/>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3.35</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ind w:left="28"/>
            </w:pPr>
            <w:r>
              <w:rPr>
                <w:rFonts w:ascii="Arial" w:hAnsi="Arial" w:cs="Arial"/>
                <w:w w:val="105"/>
                <w:sz w:val="9"/>
                <w:szCs w:val="9"/>
              </w:rPr>
              <w:t>0,06</w:t>
            </w:r>
          </w:p>
        </w:tc>
        <w:tc>
          <w:tcPr>
            <w:tcW w:w="269" w:type="dxa"/>
            <w:tcBorders>
              <w:top w:val="nil"/>
              <w:left w:val="nil"/>
              <w:bottom w:val="nil"/>
              <w:right w:val="nil"/>
            </w:tcBorders>
          </w:tcPr>
          <w:p w:rsidR="00DF26C1" w:rsidRDefault="00DF26C1" w:rsidP="007B6DBD">
            <w:pPr>
              <w:pStyle w:val="TableParagraph"/>
              <w:kinsoku w:val="0"/>
              <w:overflowPunct w:val="0"/>
              <w:ind w:left="107"/>
            </w:pPr>
            <w:r>
              <w:rPr>
                <w:rFonts w:ascii="Arial" w:hAnsi="Arial" w:cs="Arial"/>
                <w:w w:val="105"/>
                <w:sz w:val="9"/>
                <w:szCs w:val="9"/>
              </w:rPr>
              <w:t>1,1</w:t>
            </w:r>
          </w:p>
        </w:tc>
        <w:tc>
          <w:tcPr>
            <w:tcW w:w="261" w:type="dxa"/>
            <w:tcBorders>
              <w:top w:val="nil"/>
              <w:left w:val="nil"/>
              <w:bottom w:val="nil"/>
              <w:right w:val="nil"/>
            </w:tcBorders>
          </w:tcPr>
          <w:p w:rsidR="00DF26C1" w:rsidRDefault="00DF26C1" w:rsidP="007B6DBD">
            <w:pPr>
              <w:pStyle w:val="TableParagraph"/>
              <w:kinsoku w:val="0"/>
              <w:overflowPunct w:val="0"/>
              <w:ind w:left="56"/>
            </w:pPr>
            <w:r>
              <w:rPr>
                <w:rFonts w:ascii="Arial" w:hAnsi="Arial" w:cs="Arial"/>
                <w:w w:val="105"/>
                <w:sz w:val="9"/>
                <w:szCs w:val="9"/>
              </w:rPr>
              <w:t>2,57</w:t>
            </w:r>
          </w:p>
        </w:tc>
        <w:tc>
          <w:tcPr>
            <w:tcW w:w="278" w:type="dxa"/>
            <w:tcBorders>
              <w:top w:val="nil"/>
              <w:left w:val="nil"/>
              <w:bottom w:val="nil"/>
              <w:right w:val="nil"/>
            </w:tcBorders>
          </w:tcPr>
          <w:p w:rsidR="00DF26C1" w:rsidRDefault="00DF26C1" w:rsidP="007B6DBD">
            <w:pPr>
              <w:pStyle w:val="TableParagraph"/>
              <w:kinsoku w:val="0"/>
              <w:overflowPunct w:val="0"/>
              <w:ind w:left="54"/>
            </w:pPr>
            <w:r>
              <w:rPr>
                <w:rFonts w:ascii="Arial" w:hAnsi="Arial" w:cs="Arial"/>
                <w:w w:val="105"/>
                <w:sz w:val="9"/>
                <w:szCs w:val="9"/>
              </w:rPr>
              <w:t>3,72</w:t>
            </w:r>
          </w:p>
        </w:tc>
        <w:tc>
          <w:tcPr>
            <w:tcW w:w="237" w:type="dxa"/>
            <w:tcBorders>
              <w:top w:val="nil"/>
              <w:left w:val="nil"/>
              <w:bottom w:val="nil"/>
              <w:right w:val="nil"/>
            </w:tcBorders>
          </w:tcPr>
          <w:p w:rsidR="00DF26C1" w:rsidRDefault="00DF26C1" w:rsidP="007B6DBD">
            <w:pPr>
              <w:pStyle w:val="TableParagraph"/>
              <w:kinsoku w:val="0"/>
              <w:overflowPunct w:val="0"/>
              <w:ind w:left="79"/>
            </w:pPr>
            <w:r>
              <w:rPr>
                <w:rFonts w:ascii="Arial" w:hAnsi="Arial" w:cs="Arial"/>
                <w:w w:val="105"/>
                <w:sz w:val="9"/>
                <w:szCs w:val="9"/>
              </w:rPr>
              <w:t>4,2</w:t>
            </w:r>
          </w:p>
        </w:tc>
        <w:tc>
          <w:tcPr>
            <w:tcW w:w="296" w:type="dxa"/>
            <w:tcBorders>
              <w:top w:val="nil"/>
              <w:left w:val="nil"/>
              <w:bottom w:val="nil"/>
              <w:right w:val="nil"/>
            </w:tcBorders>
          </w:tcPr>
          <w:p w:rsidR="00DF26C1" w:rsidRDefault="00DF26C1" w:rsidP="007B6DBD">
            <w:pPr>
              <w:pStyle w:val="TableParagraph"/>
              <w:kinsoku w:val="0"/>
              <w:overflowPunct w:val="0"/>
              <w:ind w:left="81"/>
            </w:pPr>
            <w:r>
              <w:rPr>
                <w:rFonts w:ascii="Arial" w:hAnsi="Arial" w:cs="Arial"/>
                <w:w w:val="105"/>
                <w:sz w:val="9"/>
                <w:szCs w:val="9"/>
              </w:rPr>
              <w:t>0,08</w:t>
            </w:r>
          </w:p>
        </w:tc>
        <w:tc>
          <w:tcPr>
            <w:tcW w:w="274" w:type="dxa"/>
            <w:tcBorders>
              <w:top w:val="nil"/>
              <w:left w:val="nil"/>
              <w:bottom w:val="nil"/>
              <w:right w:val="nil"/>
            </w:tcBorders>
          </w:tcPr>
          <w:p w:rsidR="00DF26C1" w:rsidRDefault="00DF26C1" w:rsidP="007B6DBD">
            <w:pPr>
              <w:pStyle w:val="TableParagraph"/>
              <w:kinsoku w:val="0"/>
              <w:overflowPunct w:val="0"/>
              <w:ind w:left="64"/>
            </w:pPr>
            <w:r>
              <w:rPr>
                <w:rFonts w:ascii="Arial" w:hAnsi="Arial" w:cs="Arial"/>
                <w:w w:val="105"/>
                <w:sz w:val="9"/>
                <w:szCs w:val="9"/>
              </w:rPr>
              <w:t>0,86</w:t>
            </w:r>
          </w:p>
        </w:tc>
        <w:tc>
          <w:tcPr>
            <w:tcW w:w="350" w:type="dxa"/>
            <w:tcBorders>
              <w:top w:val="nil"/>
              <w:left w:val="nil"/>
              <w:bottom w:val="nil"/>
              <w:right w:val="nil"/>
            </w:tcBorders>
          </w:tcPr>
          <w:p w:rsidR="00DF26C1" w:rsidRDefault="00DF26C1" w:rsidP="007B6DBD">
            <w:pPr>
              <w:pStyle w:val="TableParagraph"/>
              <w:kinsoku w:val="0"/>
              <w:overflowPunct w:val="0"/>
              <w:ind w:left="83"/>
            </w:pPr>
            <w:r>
              <w:rPr>
                <w:rFonts w:ascii="Arial" w:hAnsi="Arial" w:cs="Arial"/>
                <w:w w:val="105"/>
                <w:sz w:val="9"/>
                <w:szCs w:val="9"/>
              </w:rPr>
              <w:t>99,47</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tc>
        <w:tc>
          <w:tcPr>
            <w:tcW w:w="253" w:type="dxa"/>
            <w:tcBorders>
              <w:top w:val="nil"/>
              <w:left w:val="nil"/>
              <w:bottom w:val="nil"/>
              <w:right w:val="nil"/>
            </w:tcBorders>
          </w:tcPr>
          <w:p w:rsidR="00DF26C1" w:rsidRDefault="00DF26C1" w:rsidP="007B6DBD"/>
        </w:tc>
        <w:tc>
          <w:tcPr>
            <w:tcW w:w="245"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ind w:left="202"/>
            </w:pPr>
            <w:r>
              <w:rPr>
                <w:rFonts w:ascii="Arial" w:hAnsi="Arial" w:cs="Arial"/>
                <w:w w:val="105"/>
                <w:sz w:val="9"/>
                <w:szCs w:val="9"/>
              </w:rPr>
              <w:t>0,711172</w:t>
            </w:r>
          </w:p>
        </w:tc>
        <w:tc>
          <w:tcPr>
            <w:tcW w:w="573" w:type="dxa"/>
            <w:tcBorders>
              <w:top w:val="nil"/>
              <w:left w:val="nil"/>
              <w:bottom w:val="nil"/>
              <w:right w:val="nil"/>
            </w:tcBorders>
          </w:tcPr>
          <w:p w:rsidR="00DF26C1" w:rsidRDefault="00DF26C1" w:rsidP="007B6DBD">
            <w:pPr>
              <w:pStyle w:val="TableParagraph"/>
              <w:kinsoku w:val="0"/>
              <w:overflowPunct w:val="0"/>
              <w:ind w:left="160"/>
            </w:pPr>
            <w:r>
              <w:rPr>
                <w:rFonts w:ascii="Arial" w:hAnsi="Arial" w:cs="Arial"/>
                <w:w w:val="105"/>
                <w:sz w:val="9"/>
                <w:szCs w:val="9"/>
              </w:rPr>
              <w:t>0,710040</w:t>
            </w:r>
          </w:p>
        </w:tc>
        <w:tc>
          <w:tcPr>
            <w:tcW w:w="607" w:type="dxa"/>
            <w:tcBorders>
              <w:top w:val="nil"/>
              <w:left w:val="nil"/>
              <w:bottom w:val="nil"/>
              <w:right w:val="nil"/>
            </w:tcBorders>
          </w:tcPr>
          <w:p w:rsidR="00DF26C1" w:rsidRDefault="00DF26C1" w:rsidP="007B6DBD">
            <w:pPr>
              <w:pStyle w:val="TableParagraph"/>
              <w:kinsoku w:val="0"/>
              <w:overflowPunct w:val="0"/>
              <w:ind w:left="193"/>
            </w:pPr>
            <w:r>
              <w:rPr>
                <w:rFonts w:ascii="Arial" w:hAnsi="Arial" w:cs="Arial"/>
                <w:w w:val="105"/>
                <w:sz w:val="9"/>
                <w:szCs w:val="9"/>
              </w:rPr>
              <w:t>0,512356</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SE of</w:t>
            </w:r>
            <w:r>
              <w:rPr>
                <w:rFonts w:ascii="Arial" w:hAnsi="Arial" w:cs="Arial"/>
                <w:spacing w:val="4"/>
                <w:w w:val="105"/>
                <w:sz w:val="9"/>
                <w:szCs w:val="9"/>
              </w:rPr>
              <w:t xml:space="preserve"> </w:t>
            </w:r>
            <w:r>
              <w:rPr>
                <w:rFonts w:ascii="Arial" w:hAnsi="Arial" w:cs="Arial"/>
                <w:w w:val="105"/>
                <w:sz w:val="9"/>
                <w:szCs w:val="9"/>
              </w:rPr>
              <w:t>Amizour</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11</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diorite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A9</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65"/>
            </w:pPr>
            <w:r>
              <w:rPr>
                <w:rFonts w:ascii="Arial" w:hAnsi="Arial" w:cs="Arial"/>
                <w:w w:val="105"/>
                <w:sz w:val="9"/>
                <w:szCs w:val="9"/>
              </w:rPr>
              <w:t>Bu/La</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63,20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136"/>
            </w:pPr>
            <w:r>
              <w:rPr>
                <w:rFonts w:ascii="Arial" w:hAnsi="Arial" w:cs="Arial"/>
                <w:w w:val="105"/>
                <w:sz w:val="9"/>
                <w:szCs w:val="9"/>
              </w:rPr>
              <w:t>0,6</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15,28</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4.44</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0,05</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2,3</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4,66</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3,43</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3,8</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0,12</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1,82</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99,69</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tc>
        <w:tc>
          <w:tcPr>
            <w:tcW w:w="253" w:type="dxa"/>
            <w:tcBorders>
              <w:top w:val="nil"/>
              <w:left w:val="nil"/>
              <w:bottom w:val="nil"/>
              <w:right w:val="nil"/>
            </w:tcBorders>
          </w:tcPr>
          <w:p w:rsidR="00DF26C1" w:rsidRDefault="00DF26C1" w:rsidP="007B6DBD"/>
        </w:tc>
        <w:tc>
          <w:tcPr>
            <w:tcW w:w="245"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Cap</w:t>
            </w:r>
            <w:r>
              <w:rPr>
                <w:rFonts w:ascii="Arial" w:hAnsi="Arial" w:cs="Arial"/>
                <w:spacing w:val="-3"/>
                <w:w w:val="105"/>
                <w:sz w:val="9"/>
                <w:szCs w:val="9"/>
              </w:rPr>
              <w:t xml:space="preserve"> </w:t>
            </w:r>
            <w:r>
              <w:rPr>
                <w:rFonts w:ascii="Arial" w:hAnsi="Arial" w:cs="Arial"/>
                <w:w w:val="105"/>
                <w:sz w:val="9"/>
                <w:szCs w:val="9"/>
              </w:rPr>
              <w:t>Bougaroun</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12</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crd-granite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U3</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213"/>
            </w:pPr>
            <w:r>
              <w:rPr>
                <w:rFonts w:ascii="Arial" w:hAnsi="Arial" w:cs="Arial"/>
                <w:w w:val="105"/>
                <w:sz w:val="9"/>
                <w:szCs w:val="9"/>
              </w:rPr>
              <w:t>Burd</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69,2</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0,44</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15,06</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3.06</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0,05</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1,5</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2,42</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2,65</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3,9</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0,14</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0,90</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99,39</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219</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139</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23</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148</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11</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361</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30</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71</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29,9</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5,5</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1,1</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4,7</w:t>
            </w:r>
          </w:p>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2,39</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22</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77</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0,721708</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5"/>
                <w:sz w:val="9"/>
                <w:szCs w:val="9"/>
              </w:rPr>
              <w:t>0,720676</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0,512129</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1"/>
        </w:trPr>
        <w:tc>
          <w:tcPr>
            <w:tcW w:w="921" w:type="dxa"/>
            <w:tcBorders>
              <w:top w:val="nil"/>
              <w:left w:val="nil"/>
              <w:bottom w:val="nil"/>
              <w:right w:val="nil"/>
            </w:tcBorders>
          </w:tcPr>
          <w:p w:rsidR="00DF26C1" w:rsidRDefault="00DF26C1" w:rsidP="007B6DBD">
            <w:pPr>
              <w:pStyle w:val="TableParagraph"/>
              <w:kinsoku w:val="0"/>
              <w:overflowPunct w:val="0"/>
              <w:spacing w:before="11"/>
              <w:ind w:left="23"/>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12</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crd-granite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L61</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69,4</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0,42</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15,83</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3.01</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0,05</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1,1</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2,29</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2,88</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3,7</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0,14</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0,92</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99,73</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226</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175</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17</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143</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14</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300</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27</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62</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26,9</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5,1</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1,1</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4,2</w:t>
            </w:r>
          </w:p>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1,83</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13</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36</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0,722038</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5"/>
                <w:sz w:val="9"/>
                <w:szCs w:val="9"/>
              </w:rPr>
              <w:t>0,721195</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0,512098</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4"/>
        </w:trPr>
        <w:tc>
          <w:tcPr>
            <w:tcW w:w="921" w:type="dxa"/>
            <w:tcBorders>
              <w:top w:val="nil"/>
              <w:left w:val="nil"/>
              <w:bottom w:val="nil"/>
              <w:right w:val="nil"/>
            </w:tcBorders>
          </w:tcPr>
          <w:p w:rsidR="00DF26C1" w:rsidRDefault="00DF26C1" w:rsidP="007B6DBD">
            <w:pPr>
              <w:pStyle w:val="TableParagraph"/>
              <w:kinsoku w:val="0"/>
              <w:overflowPunct w:val="0"/>
              <w:spacing w:before="1"/>
              <w:ind w:left="23"/>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pPr>
              <w:pStyle w:val="TableParagraph"/>
              <w:kinsoku w:val="0"/>
              <w:overflowPunct w:val="0"/>
              <w:spacing w:before="1"/>
              <w:ind w:left="17"/>
              <w:jc w:val="center"/>
            </w:pPr>
            <w:r>
              <w:rPr>
                <w:rFonts w:ascii="Arial" w:hAnsi="Arial" w:cs="Arial"/>
                <w:w w:val="105"/>
                <w:sz w:val="9"/>
                <w:szCs w:val="9"/>
              </w:rPr>
              <w:t>12</w:t>
            </w:r>
          </w:p>
        </w:tc>
        <w:tc>
          <w:tcPr>
            <w:tcW w:w="624" w:type="dxa"/>
            <w:tcBorders>
              <w:top w:val="nil"/>
              <w:left w:val="nil"/>
              <w:bottom w:val="nil"/>
              <w:right w:val="nil"/>
            </w:tcBorders>
          </w:tcPr>
          <w:p w:rsidR="00DF26C1" w:rsidRDefault="00DF26C1" w:rsidP="007B6DBD">
            <w:pPr>
              <w:pStyle w:val="TableParagraph"/>
              <w:kinsoku w:val="0"/>
              <w:overflowPunct w:val="0"/>
              <w:spacing w:before="1"/>
              <w:ind w:left="16"/>
            </w:pPr>
            <w:r>
              <w:rPr>
                <w:rFonts w:ascii="Arial" w:hAnsi="Arial" w:cs="Arial"/>
                <w:w w:val="105"/>
                <w:sz w:val="9"/>
                <w:szCs w:val="9"/>
              </w:rPr>
              <w:t>rhyolite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1"/>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pPr>
              <w:pStyle w:val="TableParagraph"/>
              <w:kinsoku w:val="0"/>
              <w:overflowPunct w:val="0"/>
              <w:spacing w:before="1"/>
              <w:ind w:left="6"/>
            </w:pPr>
            <w:r>
              <w:rPr>
                <w:rFonts w:ascii="Arial" w:hAnsi="Arial" w:cs="Arial"/>
                <w:w w:val="105"/>
                <w:sz w:val="9"/>
                <w:szCs w:val="9"/>
              </w:rPr>
              <w:t>C1</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spacing w:before="1"/>
              <w:ind w:left="112"/>
            </w:pPr>
            <w:r>
              <w:rPr>
                <w:rFonts w:ascii="Arial" w:hAnsi="Arial" w:cs="Arial"/>
                <w:w w:val="105"/>
                <w:sz w:val="9"/>
                <w:szCs w:val="9"/>
              </w:rPr>
              <w:t>32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1"/>
              <w:ind w:left="163"/>
            </w:pPr>
            <w:r>
              <w:rPr>
                <w:rFonts w:ascii="Arial" w:hAnsi="Arial" w:cs="Arial"/>
                <w:w w:val="105"/>
                <w:sz w:val="9"/>
                <w:szCs w:val="9"/>
              </w:rPr>
              <w:t>73</w:t>
            </w:r>
          </w:p>
        </w:tc>
        <w:tc>
          <w:tcPr>
            <w:tcW w:w="293" w:type="dxa"/>
            <w:tcBorders>
              <w:top w:val="nil"/>
              <w:left w:val="nil"/>
              <w:bottom w:val="nil"/>
              <w:right w:val="nil"/>
            </w:tcBorders>
          </w:tcPr>
          <w:p w:rsidR="00DF26C1" w:rsidRDefault="00DF26C1" w:rsidP="007B6DBD">
            <w:pPr>
              <w:pStyle w:val="TableParagraph"/>
              <w:kinsoku w:val="0"/>
              <w:overflowPunct w:val="0"/>
              <w:spacing w:before="1"/>
              <w:ind w:left="83"/>
            </w:pPr>
            <w:r>
              <w:rPr>
                <w:rFonts w:ascii="Arial" w:hAnsi="Arial" w:cs="Arial"/>
                <w:w w:val="105"/>
                <w:sz w:val="9"/>
                <w:szCs w:val="9"/>
              </w:rPr>
              <w:t>0,12</w:t>
            </w:r>
          </w:p>
        </w:tc>
        <w:tc>
          <w:tcPr>
            <w:tcW w:w="308" w:type="dxa"/>
            <w:tcBorders>
              <w:top w:val="nil"/>
              <w:left w:val="nil"/>
              <w:bottom w:val="nil"/>
              <w:right w:val="nil"/>
            </w:tcBorders>
          </w:tcPr>
          <w:p w:rsidR="00DF26C1" w:rsidRDefault="00DF26C1" w:rsidP="007B6DBD">
            <w:pPr>
              <w:pStyle w:val="TableParagraph"/>
              <w:kinsoku w:val="0"/>
              <w:overflowPunct w:val="0"/>
              <w:spacing w:before="1"/>
              <w:ind w:left="57"/>
            </w:pPr>
            <w:r>
              <w:rPr>
                <w:rFonts w:ascii="Arial" w:hAnsi="Arial" w:cs="Arial"/>
                <w:w w:val="105"/>
                <w:sz w:val="9"/>
                <w:szCs w:val="9"/>
              </w:rPr>
              <w:t>14,68</w:t>
            </w:r>
          </w:p>
        </w:tc>
        <w:tc>
          <w:tcPr>
            <w:tcW w:w="353" w:type="dxa"/>
            <w:tcBorders>
              <w:top w:val="nil"/>
              <w:left w:val="nil"/>
              <w:bottom w:val="nil"/>
              <w:right w:val="nil"/>
            </w:tcBorders>
          </w:tcPr>
          <w:p w:rsidR="00DF26C1" w:rsidRDefault="00DF26C1" w:rsidP="007B6DBD">
            <w:pPr>
              <w:pStyle w:val="TableParagraph"/>
              <w:kinsoku w:val="0"/>
              <w:overflowPunct w:val="0"/>
              <w:spacing w:before="1"/>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1.46</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1"/>
              <w:ind w:left="28"/>
            </w:pPr>
            <w:r>
              <w:rPr>
                <w:rFonts w:ascii="Arial" w:hAnsi="Arial" w:cs="Arial"/>
                <w:w w:val="105"/>
                <w:sz w:val="9"/>
                <w:szCs w:val="9"/>
              </w:rPr>
              <w:t>0,02</w:t>
            </w:r>
          </w:p>
        </w:tc>
        <w:tc>
          <w:tcPr>
            <w:tcW w:w="269" w:type="dxa"/>
            <w:tcBorders>
              <w:top w:val="nil"/>
              <w:left w:val="nil"/>
              <w:bottom w:val="nil"/>
              <w:right w:val="nil"/>
            </w:tcBorders>
          </w:tcPr>
          <w:p w:rsidR="00DF26C1" w:rsidRDefault="00DF26C1" w:rsidP="007B6DBD">
            <w:pPr>
              <w:pStyle w:val="TableParagraph"/>
              <w:kinsoku w:val="0"/>
              <w:overflowPunct w:val="0"/>
              <w:spacing w:before="1"/>
              <w:ind w:left="107"/>
            </w:pPr>
            <w:r>
              <w:rPr>
                <w:rFonts w:ascii="Arial" w:hAnsi="Arial" w:cs="Arial"/>
                <w:w w:val="105"/>
                <w:sz w:val="9"/>
                <w:szCs w:val="9"/>
              </w:rPr>
              <w:t>0,3</w:t>
            </w:r>
          </w:p>
        </w:tc>
        <w:tc>
          <w:tcPr>
            <w:tcW w:w="261" w:type="dxa"/>
            <w:tcBorders>
              <w:top w:val="nil"/>
              <w:left w:val="nil"/>
              <w:bottom w:val="nil"/>
              <w:right w:val="nil"/>
            </w:tcBorders>
          </w:tcPr>
          <w:p w:rsidR="00DF26C1" w:rsidRDefault="00DF26C1" w:rsidP="007B6DBD">
            <w:pPr>
              <w:pStyle w:val="TableParagraph"/>
              <w:kinsoku w:val="0"/>
              <w:overflowPunct w:val="0"/>
              <w:spacing w:before="1"/>
              <w:ind w:left="56"/>
            </w:pPr>
            <w:r>
              <w:rPr>
                <w:rFonts w:ascii="Arial" w:hAnsi="Arial" w:cs="Arial"/>
                <w:w w:val="105"/>
                <w:sz w:val="9"/>
                <w:szCs w:val="9"/>
              </w:rPr>
              <w:t>0,65</w:t>
            </w:r>
          </w:p>
        </w:tc>
        <w:tc>
          <w:tcPr>
            <w:tcW w:w="278" w:type="dxa"/>
            <w:tcBorders>
              <w:top w:val="nil"/>
              <w:left w:val="nil"/>
              <w:bottom w:val="nil"/>
              <w:right w:val="nil"/>
            </w:tcBorders>
          </w:tcPr>
          <w:p w:rsidR="00DF26C1" w:rsidRDefault="00DF26C1" w:rsidP="007B6DBD">
            <w:pPr>
              <w:pStyle w:val="TableParagraph"/>
              <w:kinsoku w:val="0"/>
              <w:overflowPunct w:val="0"/>
              <w:spacing w:before="1"/>
              <w:ind w:left="54"/>
            </w:pPr>
            <w:r>
              <w:rPr>
                <w:rFonts w:ascii="Arial" w:hAnsi="Arial" w:cs="Arial"/>
                <w:w w:val="105"/>
                <w:sz w:val="9"/>
                <w:szCs w:val="9"/>
              </w:rPr>
              <w:t>3,31</w:t>
            </w:r>
          </w:p>
        </w:tc>
        <w:tc>
          <w:tcPr>
            <w:tcW w:w="237" w:type="dxa"/>
            <w:tcBorders>
              <w:top w:val="nil"/>
              <w:left w:val="nil"/>
              <w:bottom w:val="nil"/>
              <w:right w:val="nil"/>
            </w:tcBorders>
          </w:tcPr>
          <w:p w:rsidR="00DF26C1" w:rsidRDefault="00DF26C1" w:rsidP="007B6DBD">
            <w:pPr>
              <w:pStyle w:val="TableParagraph"/>
              <w:kinsoku w:val="0"/>
              <w:overflowPunct w:val="0"/>
              <w:spacing w:before="1"/>
              <w:ind w:left="79"/>
            </w:pPr>
            <w:r>
              <w:rPr>
                <w:rFonts w:ascii="Arial" w:hAnsi="Arial" w:cs="Arial"/>
                <w:w w:val="105"/>
                <w:sz w:val="9"/>
                <w:szCs w:val="9"/>
              </w:rPr>
              <w:t>4,8</w:t>
            </w:r>
          </w:p>
        </w:tc>
        <w:tc>
          <w:tcPr>
            <w:tcW w:w="296" w:type="dxa"/>
            <w:tcBorders>
              <w:top w:val="nil"/>
              <w:left w:val="nil"/>
              <w:bottom w:val="nil"/>
              <w:right w:val="nil"/>
            </w:tcBorders>
          </w:tcPr>
          <w:p w:rsidR="00DF26C1" w:rsidRDefault="00DF26C1" w:rsidP="007B6DBD">
            <w:pPr>
              <w:pStyle w:val="TableParagraph"/>
              <w:kinsoku w:val="0"/>
              <w:overflowPunct w:val="0"/>
              <w:spacing w:before="1"/>
              <w:ind w:left="81"/>
            </w:pPr>
            <w:r>
              <w:rPr>
                <w:rFonts w:ascii="Arial" w:hAnsi="Arial" w:cs="Arial"/>
                <w:w w:val="105"/>
                <w:sz w:val="9"/>
                <w:szCs w:val="9"/>
              </w:rPr>
              <w:t>0,29</w:t>
            </w:r>
          </w:p>
        </w:tc>
        <w:tc>
          <w:tcPr>
            <w:tcW w:w="274" w:type="dxa"/>
            <w:tcBorders>
              <w:top w:val="nil"/>
              <w:left w:val="nil"/>
              <w:bottom w:val="nil"/>
              <w:right w:val="nil"/>
            </w:tcBorders>
          </w:tcPr>
          <w:p w:rsidR="00DF26C1" w:rsidRDefault="00DF26C1" w:rsidP="007B6DBD">
            <w:pPr>
              <w:pStyle w:val="TableParagraph"/>
              <w:kinsoku w:val="0"/>
              <w:overflowPunct w:val="0"/>
              <w:spacing w:before="1"/>
              <w:ind w:left="64"/>
            </w:pPr>
            <w:r>
              <w:rPr>
                <w:rFonts w:ascii="Arial" w:hAnsi="Arial" w:cs="Arial"/>
                <w:w w:val="105"/>
                <w:sz w:val="9"/>
                <w:szCs w:val="9"/>
              </w:rPr>
              <w:t>0,66</w:t>
            </w:r>
          </w:p>
        </w:tc>
        <w:tc>
          <w:tcPr>
            <w:tcW w:w="350" w:type="dxa"/>
            <w:tcBorders>
              <w:top w:val="nil"/>
              <w:left w:val="nil"/>
              <w:bottom w:val="nil"/>
              <w:right w:val="nil"/>
            </w:tcBorders>
          </w:tcPr>
          <w:p w:rsidR="00DF26C1" w:rsidRDefault="00DF26C1" w:rsidP="007B6DBD">
            <w:pPr>
              <w:pStyle w:val="TableParagraph"/>
              <w:kinsoku w:val="0"/>
              <w:overflowPunct w:val="0"/>
              <w:spacing w:before="1"/>
              <w:ind w:left="83"/>
            </w:pPr>
            <w:r>
              <w:rPr>
                <w:rFonts w:ascii="Arial" w:hAnsi="Arial" w:cs="Arial"/>
                <w:w w:val="105"/>
                <w:sz w:val="9"/>
                <w:szCs w:val="9"/>
              </w:rPr>
              <w:t>99,21</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tc>
        <w:tc>
          <w:tcPr>
            <w:tcW w:w="253" w:type="dxa"/>
            <w:tcBorders>
              <w:top w:val="nil"/>
              <w:left w:val="nil"/>
              <w:bottom w:val="nil"/>
              <w:right w:val="nil"/>
            </w:tcBorders>
          </w:tcPr>
          <w:p w:rsidR="00DF26C1" w:rsidRDefault="00DF26C1" w:rsidP="007B6DBD"/>
        </w:tc>
        <w:tc>
          <w:tcPr>
            <w:tcW w:w="245"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spacing w:before="1"/>
              <w:ind w:left="202"/>
            </w:pPr>
            <w:r>
              <w:rPr>
                <w:rFonts w:ascii="Arial" w:hAnsi="Arial" w:cs="Arial"/>
                <w:w w:val="105"/>
                <w:sz w:val="9"/>
                <w:szCs w:val="9"/>
              </w:rPr>
              <w:t>0,715605</w:t>
            </w:r>
          </w:p>
        </w:tc>
        <w:tc>
          <w:tcPr>
            <w:tcW w:w="573" w:type="dxa"/>
            <w:tcBorders>
              <w:top w:val="nil"/>
              <w:left w:val="nil"/>
              <w:bottom w:val="nil"/>
              <w:right w:val="nil"/>
            </w:tcBorders>
          </w:tcPr>
          <w:p w:rsidR="00DF26C1" w:rsidRDefault="00DF26C1" w:rsidP="007B6DBD">
            <w:pPr>
              <w:pStyle w:val="TableParagraph"/>
              <w:kinsoku w:val="0"/>
              <w:overflowPunct w:val="0"/>
              <w:spacing w:before="1"/>
              <w:ind w:left="160"/>
            </w:pPr>
            <w:r>
              <w:rPr>
                <w:rFonts w:ascii="Arial" w:hAnsi="Arial" w:cs="Arial"/>
                <w:w w:val="105"/>
                <w:sz w:val="9"/>
                <w:szCs w:val="9"/>
              </w:rPr>
              <w:t>0,715150</w:t>
            </w:r>
          </w:p>
        </w:tc>
        <w:tc>
          <w:tcPr>
            <w:tcW w:w="607" w:type="dxa"/>
            <w:tcBorders>
              <w:top w:val="nil"/>
              <w:left w:val="nil"/>
              <w:bottom w:val="nil"/>
              <w:right w:val="nil"/>
            </w:tcBorders>
          </w:tcPr>
          <w:p w:rsidR="00DF26C1" w:rsidRDefault="00DF26C1" w:rsidP="007B6DBD">
            <w:pPr>
              <w:pStyle w:val="TableParagraph"/>
              <w:kinsoku w:val="0"/>
              <w:overflowPunct w:val="0"/>
              <w:spacing w:before="1"/>
              <w:ind w:left="193"/>
            </w:pPr>
            <w:r>
              <w:rPr>
                <w:rFonts w:ascii="Arial" w:hAnsi="Arial" w:cs="Arial"/>
                <w:w w:val="105"/>
                <w:sz w:val="9"/>
                <w:szCs w:val="9"/>
              </w:rPr>
              <w:t>0,512226</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12</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gabbro</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L44</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47,6</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0,73</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17,11</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9.17</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0,16</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7,4</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11,9</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1,5</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0,8</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0,16</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2,80</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99,37</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27</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269</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45,5</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1,4</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182</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5,6</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12,7</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02"/>
            </w:pPr>
            <w:r>
              <w:rPr>
                <w:rFonts w:ascii="Arial" w:hAnsi="Arial" w:cs="Arial"/>
                <w:w w:val="105"/>
                <w:sz w:val="9"/>
                <w:szCs w:val="9"/>
              </w:rPr>
              <w:t>7,4</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2,08</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0,7</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2,3</w:t>
            </w:r>
          </w:p>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1,34</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61</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104</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0,705679</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5"/>
                <w:sz w:val="9"/>
                <w:szCs w:val="9"/>
              </w:rPr>
              <w:t>0,705613</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0,512801</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Djebel</w:t>
            </w:r>
            <w:r>
              <w:rPr>
                <w:rFonts w:ascii="Arial" w:hAnsi="Arial" w:cs="Arial"/>
                <w:spacing w:val="-11"/>
                <w:w w:val="105"/>
                <w:sz w:val="9"/>
                <w:szCs w:val="9"/>
              </w:rPr>
              <w:t xml:space="preserve"> </w:t>
            </w:r>
            <w:r>
              <w:rPr>
                <w:rFonts w:ascii="Arial" w:hAnsi="Arial" w:cs="Arial"/>
                <w:w w:val="105"/>
                <w:sz w:val="9"/>
                <w:szCs w:val="9"/>
              </w:rPr>
              <w:t>Filfilla</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32</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crd-granite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II</w:t>
            </w:r>
            <w:r>
              <w:rPr>
                <w:rFonts w:ascii="Arial" w:hAnsi="Arial" w:cs="Arial"/>
                <w:spacing w:val="22"/>
                <w:w w:val="105"/>
                <w:sz w:val="9"/>
                <w:szCs w:val="9"/>
              </w:rPr>
              <w:t xml:space="preserve"> </w:t>
            </w:r>
            <w:r>
              <w:rPr>
                <w:rFonts w:ascii="Arial" w:hAnsi="Arial" w:cs="Arial"/>
                <w:w w:val="105"/>
                <w:sz w:val="9"/>
                <w:szCs w:val="9"/>
              </w:rPr>
              <w:t>6</w:t>
            </w:r>
          </w:p>
        </w:tc>
        <w:tc>
          <w:tcPr>
            <w:tcW w:w="437" w:type="dxa"/>
            <w:tcBorders>
              <w:top w:val="nil"/>
              <w:left w:val="nil"/>
              <w:bottom w:val="nil"/>
              <w:right w:val="nil"/>
            </w:tcBorders>
          </w:tcPr>
          <w:p w:rsidR="00DF26C1" w:rsidRDefault="00DF26C1" w:rsidP="007B6DBD">
            <w:pPr>
              <w:pStyle w:val="TableParagraph"/>
              <w:kinsoku w:val="0"/>
              <w:overflowPunct w:val="0"/>
              <w:spacing w:before="4"/>
              <w:ind w:left="165"/>
            </w:pPr>
            <w:r>
              <w:rPr>
                <w:rFonts w:ascii="Arial" w:hAnsi="Arial" w:cs="Arial"/>
                <w:w w:val="105"/>
                <w:sz w:val="9"/>
                <w:szCs w:val="9"/>
              </w:rPr>
              <w:t>Bu/La</w:t>
            </w:r>
          </w:p>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72,2</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0,28</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57"/>
            </w:pPr>
            <w:r>
              <w:rPr>
                <w:rFonts w:ascii="Arial" w:hAnsi="Arial" w:cs="Arial"/>
                <w:w w:val="105"/>
                <w:sz w:val="9"/>
                <w:szCs w:val="9"/>
              </w:rPr>
              <w:t>14,62</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1.98</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0,02</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0,6</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56"/>
            </w:pPr>
            <w:r>
              <w:rPr>
                <w:rFonts w:ascii="Arial" w:hAnsi="Arial" w:cs="Arial"/>
                <w:w w:val="105"/>
                <w:sz w:val="9"/>
                <w:szCs w:val="9"/>
              </w:rPr>
              <w:t>1,04</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3,12</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4,7</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0,18</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0,72</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99,46</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427</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123"/>
            </w:pPr>
            <w:r>
              <w:rPr>
                <w:rFonts w:ascii="Arial" w:hAnsi="Arial" w:cs="Arial"/>
                <w:w w:val="105"/>
                <w:sz w:val="9"/>
                <w:szCs w:val="9"/>
              </w:rPr>
              <w:t>60</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13</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76"/>
            </w:pPr>
            <w:r>
              <w:rPr>
                <w:rFonts w:ascii="Arial" w:hAnsi="Arial" w:cs="Arial"/>
                <w:w w:val="105"/>
                <w:sz w:val="9"/>
                <w:szCs w:val="9"/>
              </w:rPr>
              <w:t>125</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63"/>
            </w:pPr>
            <w:r>
              <w:rPr>
                <w:rFonts w:ascii="Arial" w:hAnsi="Arial" w:cs="Arial"/>
                <w:w w:val="105"/>
                <w:sz w:val="9"/>
                <w:szCs w:val="9"/>
              </w:rPr>
              <w:t>17</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226</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25</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172"/>
            </w:pPr>
            <w:r>
              <w:rPr>
                <w:rFonts w:ascii="Arial" w:hAnsi="Arial" w:cs="Arial"/>
                <w:w w:val="105"/>
                <w:sz w:val="9"/>
                <w:szCs w:val="9"/>
              </w:rPr>
              <w:t>65</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28,6</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5,5</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0,6</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4,6</w:t>
            </w:r>
          </w:p>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1,1</w:t>
            </w:r>
          </w:p>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pPr>
              <w:pStyle w:val="TableParagraph"/>
              <w:kinsoku w:val="0"/>
              <w:overflowPunct w:val="0"/>
              <w:spacing w:before="4"/>
              <w:ind w:left="41"/>
            </w:pPr>
            <w:r>
              <w:rPr>
                <w:rFonts w:ascii="Arial" w:hAnsi="Arial" w:cs="Arial"/>
                <w:w w:val="106"/>
                <w:sz w:val="9"/>
                <w:szCs w:val="9"/>
              </w:rPr>
              <w:t>5</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17</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0,743340</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5"/>
                <w:sz w:val="9"/>
                <w:szCs w:val="9"/>
              </w:rPr>
              <w:t>0,738678</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0,512185</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18"/>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5"/>
                <w:sz w:val="9"/>
                <w:szCs w:val="9"/>
              </w:rPr>
              <w:t>Cap de</w:t>
            </w:r>
            <w:r>
              <w:rPr>
                <w:rFonts w:ascii="Arial" w:hAnsi="Arial" w:cs="Arial"/>
                <w:spacing w:val="1"/>
                <w:w w:val="105"/>
                <w:sz w:val="9"/>
                <w:szCs w:val="9"/>
              </w:rPr>
              <w:t xml:space="preserve"> </w:t>
            </w:r>
            <w:r>
              <w:rPr>
                <w:rFonts w:ascii="Arial" w:hAnsi="Arial" w:cs="Arial"/>
                <w:w w:val="105"/>
                <w:sz w:val="9"/>
                <w:szCs w:val="9"/>
              </w:rPr>
              <w:t>Fer</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38</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gabbro</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VPE-271</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31"/>
            </w:pPr>
            <w:r>
              <w:rPr>
                <w:rFonts w:ascii="Arial" w:hAnsi="Arial" w:cs="Arial"/>
                <w:w w:val="105"/>
                <w:sz w:val="9"/>
                <w:szCs w:val="9"/>
              </w:rPr>
              <w:t>47,80</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0,35</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14,8</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8.62</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0,19</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33"/>
            </w:pPr>
            <w:r>
              <w:rPr>
                <w:rFonts w:ascii="Arial" w:hAnsi="Arial" w:cs="Arial"/>
                <w:w w:val="105"/>
                <w:sz w:val="9"/>
                <w:szCs w:val="9"/>
              </w:rPr>
              <w:t>14</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8,6</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1,16</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1,7</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0,08</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2,21</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99,40</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59"/>
            </w:pPr>
            <w:r>
              <w:rPr>
                <w:rFonts w:ascii="Arial" w:hAnsi="Arial" w:cs="Arial"/>
                <w:w w:val="105"/>
                <w:sz w:val="9"/>
                <w:szCs w:val="9"/>
              </w:rPr>
              <w:t>111</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197</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88"/>
            </w:pPr>
            <w:r>
              <w:rPr>
                <w:rFonts w:ascii="Arial" w:hAnsi="Arial" w:cs="Arial"/>
                <w:w w:val="105"/>
                <w:sz w:val="9"/>
                <w:szCs w:val="9"/>
              </w:rPr>
              <w:t>9,2</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42,9</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1,8</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159</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7,7</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15,4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102"/>
            </w:pPr>
            <w:r>
              <w:rPr>
                <w:rFonts w:ascii="Arial" w:hAnsi="Arial" w:cs="Arial"/>
                <w:w w:val="105"/>
                <w:sz w:val="9"/>
                <w:szCs w:val="9"/>
              </w:rPr>
              <w:t>7,1</w:t>
            </w:r>
          </w:p>
        </w:tc>
        <w:tc>
          <w:tcPr>
            <w:tcW w:w="293" w:type="dxa"/>
            <w:gridSpan w:val="2"/>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1,72</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0,5</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1,8</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1,6</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0,91</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364</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864</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0,708197</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5"/>
                <w:sz w:val="9"/>
                <w:szCs w:val="9"/>
              </w:rPr>
              <w:t>0,707820</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0,512424</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2"/>
        </w:trPr>
        <w:tc>
          <w:tcPr>
            <w:tcW w:w="921" w:type="dxa"/>
            <w:tcBorders>
              <w:top w:val="nil"/>
              <w:left w:val="nil"/>
              <w:bottom w:val="nil"/>
              <w:right w:val="nil"/>
            </w:tcBorders>
          </w:tcPr>
          <w:p w:rsidR="00DF26C1" w:rsidRDefault="00DF26C1" w:rsidP="007B6DBD">
            <w:pPr>
              <w:pStyle w:val="TableParagraph"/>
              <w:kinsoku w:val="0"/>
              <w:overflowPunct w:val="0"/>
              <w:spacing w:before="4"/>
              <w:ind w:left="23"/>
            </w:pPr>
            <w:r>
              <w:rPr>
                <w:rFonts w:ascii="Arial" w:hAnsi="Arial" w:cs="Arial"/>
                <w:w w:val="106"/>
                <w:sz w:val="9"/>
                <w:szCs w:val="9"/>
              </w:rPr>
              <w:t>"</w:t>
            </w:r>
          </w:p>
        </w:tc>
        <w:tc>
          <w:tcPr>
            <w:tcW w:w="503" w:type="dxa"/>
            <w:tcBorders>
              <w:top w:val="nil"/>
              <w:left w:val="nil"/>
              <w:bottom w:val="nil"/>
              <w:right w:val="nil"/>
            </w:tcBorders>
          </w:tcPr>
          <w:p w:rsidR="00DF26C1" w:rsidRDefault="00DF26C1" w:rsidP="007B6DBD">
            <w:pPr>
              <w:pStyle w:val="TableParagraph"/>
              <w:kinsoku w:val="0"/>
              <w:overflowPunct w:val="0"/>
              <w:spacing w:before="4"/>
              <w:ind w:left="17"/>
              <w:jc w:val="center"/>
            </w:pPr>
            <w:r>
              <w:rPr>
                <w:rFonts w:ascii="Arial" w:hAnsi="Arial" w:cs="Arial"/>
                <w:w w:val="105"/>
                <w:sz w:val="9"/>
                <w:szCs w:val="9"/>
              </w:rPr>
              <w:t>38</w:t>
            </w:r>
          </w:p>
        </w:tc>
        <w:tc>
          <w:tcPr>
            <w:tcW w:w="624" w:type="dxa"/>
            <w:tcBorders>
              <w:top w:val="nil"/>
              <w:left w:val="nil"/>
              <w:bottom w:val="nil"/>
              <w:right w:val="nil"/>
            </w:tcBorders>
          </w:tcPr>
          <w:p w:rsidR="00DF26C1" w:rsidRDefault="00DF26C1" w:rsidP="007B6DBD">
            <w:pPr>
              <w:pStyle w:val="TableParagraph"/>
              <w:kinsoku w:val="0"/>
              <w:overflowPunct w:val="0"/>
              <w:spacing w:before="4"/>
              <w:ind w:left="16"/>
            </w:pPr>
            <w:r>
              <w:rPr>
                <w:rFonts w:ascii="Arial" w:hAnsi="Arial" w:cs="Arial"/>
                <w:w w:val="105"/>
                <w:sz w:val="9"/>
                <w:szCs w:val="9"/>
              </w:rPr>
              <w:t>basalt</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4"/>
              <w:ind w:left="21"/>
            </w:pPr>
            <w:r>
              <w:rPr>
                <w:rFonts w:ascii="Arial" w:hAnsi="Arial" w:cs="Arial"/>
                <w:w w:val="105"/>
                <w:sz w:val="9"/>
                <w:szCs w:val="9"/>
              </w:rPr>
              <w:t>mK-CA</w:t>
            </w:r>
          </w:p>
        </w:tc>
        <w:tc>
          <w:tcPr>
            <w:tcW w:w="611" w:type="dxa"/>
            <w:tcBorders>
              <w:top w:val="nil"/>
              <w:left w:val="nil"/>
              <w:bottom w:val="nil"/>
              <w:right w:val="nil"/>
            </w:tcBorders>
          </w:tcPr>
          <w:p w:rsidR="00DF26C1" w:rsidRDefault="00DF26C1" w:rsidP="007B6DBD">
            <w:pPr>
              <w:pStyle w:val="TableParagraph"/>
              <w:kinsoku w:val="0"/>
              <w:overflowPunct w:val="0"/>
              <w:spacing w:before="4"/>
              <w:ind w:left="6"/>
            </w:pPr>
            <w:r>
              <w:rPr>
                <w:rFonts w:ascii="Arial" w:hAnsi="Arial" w:cs="Arial"/>
                <w:w w:val="105"/>
                <w:sz w:val="9"/>
                <w:szCs w:val="9"/>
              </w:rPr>
              <w:t>VPE-21</w:t>
            </w:r>
          </w:p>
        </w:tc>
        <w:tc>
          <w:tcPr>
            <w:tcW w:w="437" w:type="dxa"/>
            <w:tcBorders>
              <w:top w:val="nil"/>
              <w:left w:val="nil"/>
              <w:bottom w:val="nil"/>
              <w:right w:val="nil"/>
            </w:tcBorders>
          </w:tcPr>
          <w:p w:rsidR="00DF26C1" w:rsidRDefault="00DF26C1" w:rsidP="007B6DBD"/>
        </w:tc>
        <w:tc>
          <w:tcPr>
            <w:tcW w:w="320" w:type="dxa"/>
            <w:tcBorders>
              <w:top w:val="nil"/>
              <w:left w:val="nil"/>
              <w:bottom w:val="nil"/>
              <w:right w:val="nil"/>
            </w:tcBorders>
          </w:tcPr>
          <w:p w:rsidR="00DF26C1" w:rsidRDefault="00DF26C1" w:rsidP="007B6DBD">
            <w:pPr>
              <w:pStyle w:val="TableParagraph"/>
              <w:kinsoku w:val="0"/>
              <w:overflowPunct w:val="0"/>
              <w:spacing w:before="4"/>
              <w:ind w:left="112"/>
            </w:pPr>
            <w:r>
              <w:rPr>
                <w:rFonts w:ascii="Arial" w:hAnsi="Arial" w:cs="Arial"/>
                <w:w w:val="105"/>
                <w:sz w:val="9"/>
                <w:szCs w:val="9"/>
              </w:rPr>
              <w:t>32</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pPr>
              <w:pStyle w:val="TableParagraph"/>
              <w:kinsoku w:val="0"/>
              <w:overflowPunct w:val="0"/>
              <w:spacing w:before="4"/>
              <w:ind w:left="84"/>
            </w:pPr>
            <w:r>
              <w:rPr>
                <w:rFonts w:ascii="Arial" w:hAnsi="Arial" w:cs="Arial"/>
                <w:w w:val="105"/>
                <w:sz w:val="9"/>
                <w:szCs w:val="9"/>
              </w:rPr>
              <w:t>51,4</w:t>
            </w:r>
          </w:p>
        </w:tc>
        <w:tc>
          <w:tcPr>
            <w:tcW w:w="293" w:type="dxa"/>
            <w:tcBorders>
              <w:top w:val="nil"/>
              <w:left w:val="nil"/>
              <w:bottom w:val="nil"/>
              <w:right w:val="nil"/>
            </w:tcBorders>
          </w:tcPr>
          <w:p w:rsidR="00DF26C1" w:rsidRDefault="00DF26C1" w:rsidP="007B6DBD">
            <w:pPr>
              <w:pStyle w:val="TableParagraph"/>
              <w:kinsoku w:val="0"/>
              <w:overflowPunct w:val="0"/>
              <w:spacing w:before="4"/>
              <w:ind w:left="83"/>
            </w:pPr>
            <w:r>
              <w:rPr>
                <w:rFonts w:ascii="Arial" w:hAnsi="Arial" w:cs="Arial"/>
                <w:w w:val="105"/>
                <w:sz w:val="9"/>
                <w:szCs w:val="9"/>
              </w:rPr>
              <w:t>0,58</w:t>
            </w:r>
          </w:p>
        </w:tc>
        <w:tc>
          <w:tcPr>
            <w:tcW w:w="308" w:type="dxa"/>
            <w:tcBorders>
              <w:top w:val="nil"/>
              <w:left w:val="nil"/>
              <w:bottom w:val="nil"/>
              <w:right w:val="nil"/>
            </w:tcBorders>
          </w:tcPr>
          <w:p w:rsidR="00DF26C1" w:rsidRDefault="00DF26C1" w:rsidP="007B6DBD">
            <w:pPr>
              <w:pStyle w:val="TableParagraph"/>
              <w:kinsoku w:val="0"/>
              <w:overflowPunct w:val="0"/>
              <w:spacing w:before="4"/>
              <w:ind w:left="189"/>
            </w:pPr>
            <w:r>
              <w:rPr>
                <w:rFonts w:ascii="Arial" w:hAnsi="Arial" w:cs="Arial"/>
                <w:w w:val="105"/>
                <w:sz w:val="9"/>
                <w:szCs w:val="9"/>
              </w:rPr>
              <w:t>16</w:t>
            </w:r>
          </w:p>
        </w:tc>
        <w:tc>
          <w:tcPr>
            <w:tcW w:w="353" w:type="dxa"/>
            <w:tcBorders>
              <w:top w:val="nil"/>
              <w:left w:val="nil"/>
              <w:bottom w:val="nil"/>
              <w:right w:val="nil"/>
            </w:tcBorders>
          </w:tcPr>
          <w:p w:rsidR="00DF26C1" w:rsidRDefault="00DF26C1" w:rsidP="007B6DBD">
            <w:pPr>
              <w:pStyle w:val="TableParagraph"/>
              <w:kinsoku w:val="0"/>
              <w:overflowPunct w:val="0"/>
              <w:spacing w:before="4"/>
              <w:ind w:left="60"/>
            </w:pPr>
            <w:r>
              <w:rPr>
                <w:rFonts w:ascii="Arial" w:hAnsi="Arial" w:cs="Arial"/>
                <w:w w:val="105"/>
                <w:sz w:val="9"/>
                <w:szCs w:val="9"/>
              </w:rPr>
              <w:t>t.</w:t>
            </w:r>
            <w:r>
              <w:rPr>
                <w:rFonts w:ascii="Arial" w:hAnsi="Arial" w:cs="Arial"/>
                <w:spacing w:val="1"/>
                <w:w w:val="105"/>
                <w:sz w:val="9"/>
                <w:szCs w:val="9"/>
              </w:rPr>
              <w:t xml:space="preserve"> </w:t>
            </w:r>
            <w:r>
              <w:rPr>
                <w:rFonts w:ascii="Arial" w:hAnsi="Arial" w:cs="Arial"/>
                <w:w w:val="105"/>
                <w:sz w:val="9"/>
                <w:szCs w:val="9"/>
              </w:rPr>
              <w:t>7.14</w:t>
            </w:r>
          </w:p>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pPr>
              <w:pStyle w:val="TableParagraph"/>
              <w:kinsoku w:val="0"/>
              <w:overflowPunct w:val="0"/>
              <w:spacing w:before="4"/>
              <w:ind w:left="28"/>
            </w:pPr>
            <w:r>
              <w:rPr>
                <w:rFonts w:ascii="Arial" w:hAnsi="Arial" w:cs="Arial"/>
                <w:w w:val="105"/>
                <w:sz w:val="9"/>
                <w:szCs w:val="9"/>
              </w:rPr>
              <w:t>0,09</w:t>
            </w:r>
          </w:p>
        </w:tc>
        <w:tc>
          <w:tcPr>
            <w:tcW w:w="269"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8,1</w:t>
            </w:r>
          </w:p>
        </w:tc>
        <w:tc>
          <w:tcPr>
            <w:tcW w:w="261" w:type="dxa"/>
            <w:tcBorders>
              <w:top w:val="nil"/>
              <w:left w:val="nil"/>
              <w:bottom w:val="nil"/>
              <w:right w:val="nil"/>
            </w:tcBorders>
          </w:tcPr>
          <w:p w:rsidR="00DF26C1" w:rsidRDefault="00DF26C1" w:rsidP="007B6DBD">
            <w:pPr>
              <w:pStyle w:val="TableParagraph"/>
              <w:kinsoku w:val="0"/>
              <w:overflowPunct w:val="0"/>
              <w:spacing w:before="4"/>
              <w:ind w:left="109"/>
            </w:pPr>
            <w:r>
              <w:rPr>
                <w:rFonts w:ascii="Arial" w:hAnsi="Arial" w:cs="Arial"/>
                <w:w w:val="105"/>
                <w:sz w:val="9"/>
                <w:szCs w:val="9"/>
              </w:rPr>
              <w:t>9,3</w:t>
            </w:r>
          </w:p>
        </w:tc>
        <w:tc>
          <w:tcPr>
            <w:tcW w:w="278"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2,06</w:t>
            </w:r>
          </w:p>
        </w:tc>
        <w:tc>
          <w:tcPr>
            <w:tcW w:w="237" w:type="dxa"/>
            <w:tcBorders>
              <w:top w:val="nil"/>
              <w:left w:val="nil"/>
              <w:bottom w:val="nil"/>
              <w:right w:val="nil"/>
            </w:tcBorders>
          </w:tcPr>
          <w:p w:rsidR="00DF26C1" w:rsidRDefault="00DF26C1" w:rsidP="007B6DBD">
            <w:pPr>
              <w:pStyle w:val="TableParagraph"/>
              <w:kinsoku w:val="0"/>
              <w:overflowPunct w:val="0"/>
              <w:spacing w:before="4"/>
              <w:ind w:left="79"/>
            </w:pPr>
            <w:r>
              <w:rPr>
                <w:rFonts w:ascii="Arial" w:hAnsi="Arial" w:cs="Arial"/>
                <w:w w:val="105"/>
                <w:sz w:val="9"/>
                <w:szCs w:val="9"/>
              </w:rPr>
              <w:t>1,3</w:t>
            </w:r>
          </w:p>
        </w:tc>
        <w:tc>
          <w:tcPr>
            <w:tcW w:w="296" w:type="dxa"/>
            <w:tcBorders>
              <w:top w:val="nil"/>
              <w:left w:val="nil"/>
              <w:bottom w:val="nil"/>
              <w:right w:val="nil"/>
            </w:tcBorders>
          </w:tcPr>
          <w:p w:rsidR="00DF26C1" w:rsidRDefault="00DF26C1" w:rsidP="007B6DBD">
            <w:pPr>
              <w:pStyle w:val="TableParagraph"/>
              <w:kinsoku w:val="0"/>
              <w:overflowPunct w:val="0"/>
              <w:spacing w:before="4"/>
              <w:ind w:left="81"/>
            </w:pPr>
            <w:r>
              <w:rPr>
                <w:rFonts w:ascii="Arial" w:hAnsi="Arial" w:cs="Arial"/>
                <w:w w:val="105"/>
                <w:sz w:val="9"/>
                <w:szCs w:val="9"/>
              </w:rPr>
              <w:t>0,12</w:t>
            </w:r>
          </w:p>
        </w:tc>
        <w:tc>
          <w:tcPr>
            <w:tcW w:w="274" w:type="dxa"/>
            <w:tcBorders>
              <w:top w:val="nil"/>
              <w:left w:val="nil"/>
              <w:bottom w:val="nil"/>
              <w:right w:val="nil"/>
            </w:tcBorders>
          </w:tcPr>
          <w:p w:rsidR="00DF26C1" w:rsidRDefault="00DF26C1" w:rsidP="007B6DBD">
            <w:pPr>
              <w:pStyle w:val="TableParagraph"/>
              <w:kinsoku w:val="0"/>
              <w:overflowPunct w:val="0"/>
              <w:spacing w:before="4"/>
              <w:ind w:left="64"/>
            </w:pPr>
            <w:r>
              <w:rPr>
                <w:rFonts w:ascii="Arial" w:hAnsi="Arial" w:cs="Arial"/>
                <w:w w:val="105"/>
                <w:sz w:val="9"/>
                <w:szCs w:val="9"/>
              </w:rPr>
              <w:t>3,96</w:t>
            </w:r>
          </w:p>
        </w:tc>
        <w:tc>
          <w:tcPr>
            <w:tcW w:w="350" w:type="dxa"/>
            <w:tcBorders>
              <w:top w:val="nil"/>
              <w:left w:val="nil"/>
              <w:bottom w:val="nil"/>
              <w:right w:val="nil"/>
            </w:tcBorders>
          </w:tcPr>
          <w:p w:rsidR="00DF26C1" w:rsidRDefault="00DF26C1" w:rsidP="007B6DBD">
            <w:pPr>
              <w:pStyle w:val="TableParagraph"/>
              <w:kinsoku w:val="0"/>
              <w:overflowPunct w:val="0"/>
              <w:spacing w:before="4"/>
              <w:ind w:left="30"/>
            </w:pPr>
            <w:r>
              <w:rPr>
                <w:rFonts w:ascii="Arial" w:hAnsi="Arial" w:cs="Arial"/>
                <w:w w:val="105"/>
                <w:sz w:val="9"/>
                <w:szCs w:val="9"/>
              </w:rPr>
              <w:t>100,03</w:t>
            </w:r>
          </w:p>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pPr>
              <w:pStyle w:val="TableParagraph"/>
              <w:kinsoku w:val="0"/>
              <w:overflowPunct w:val="0"/>
              <w:spacing w:before="4"/>
              <w:ind w:left="86"/>
            </w:pPr>
            <w:r>
              <w:rPr>
                <w:rFonts w:ascii="Arial" w:hAnsi="Arial" w:cs="Arial"/>
                <w:w w:val="105"/>
                <w:sz w:val="9"/>
                <w:szCs w:val="9"/>
              </w:rPr>
              <w:t>56</w:t>
            </w:r>
          </w:p>
        </w:tc>
        <w:tc>
          <w:tcPr>
            <w:tcW w:w="253" w:type="dxa"/>
            <w:tcBorders>
              <w:top w:val="nil"/>
              <w:left w:val="nil"/>
              <w:bottom w:val="nil"/>
              <w:right w:val="nil"/>
            </w:tcBorders>
          </w:tcPr>
          <w:p w:rsidR="00DF26C1" w:rsidRDefault="00DF26C1" w:rsidP="007B6DBD">
            <w:pPr>
              <w:pStyle w:val="TableParagraph"/>
              <w:kinsoku w:val="0"/>
              <w:overflowPunct w:val="0"/>
              <w:spacing w:before="4"/>
              <w:ind w:left="70"/>
            </w:pPr>
            <w:r>
              <w:rPr>
                <w:rFonts w:ascii="Arial" w:hAnsi="Arial" w:cs="Arial"/>
                <w:w w:val="105"/>
                <w:sz w:val="9"/>
                <w:szCs w:val="9"/>
              </w:rPr>
              <w:t>294</w:t>
            </w:r>
          </w:p>
        </w:tc>
        <w:tc>
          <w:tcPr>
            <w:tcW w:w="245" w:type="dxa"/>
            <w:tcBorders>
              <w:top w:val="nil"/>
              <w:left w:val="nil"/>
              <w:bottom w:val="nil"/>
              <w:right w:val="nil"/>
            </w:tcBorders>
          </w:tcPr>
          <w:p w:rsidR="00DF26C1" w:rsidRDefault="00DF26C1" w:rsidP="007B6DBD">
            <w:pPr>
              <w:pStyle w:val="TableParagraph"/>
              <w:kinsoku w:val="0"/>
              <w:overflowPunct w:val="0"/>
              <w:spacing w:before="4"/>
              <w:ind w:left="115"/>
            </w:pPr>
            <w:r>
              <w:rPr>
                <w:rFonts w:ascii="Arial" w:hAnsi="Arial" w:cs="Arial"/>
                <w:w w:val="105"/>
                <w:sz w:val="9"/>
                <w:szCs w:val="9"/>
              </w:rPr>
              <w:t>14</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70,5</w:t>
            </w:r>
          </w:p>
        </w:tc>
        <w:tc>
          <w:tcPr>
            <w:tcW w:w="223"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2,9</w:t>
            </w:r>
          </w:p>
        </w:tc>
        <w:tc>
          <w:tcPr>
            <w:tcW w:w="281" w:type="dxa"/>
            <w:tcBorders>
              <w:top w:val="nil"/>
              <w:left w:val="nil"/>
              <w:bottom w:val="nil"/>
              <w:right w:val="nil"/>
            </w:tcBorders>
          </w:tcPr>
          <w:p w:rsidR="00DF26C1" w:rsidRDefault="00DF26C1" w:rsidP="007B6DBD">
            <w:pPr>
              <w:pStyle w:val="TableParagraph"/>
              <w:kinsoku w:val="0"/>
              <w:overflowPunct w:val="0"/>
              <w:spacing w:before="4"/>
              <w:ind w:left="99"/>
            </w:pPr>
            <w:r>
              <w:rPr>
                <w:rFonts w:ascii="Arial" w:hAnsi="Arial" w:cs="Arial"/>
                <w:w w:val="105"/>
                <w:sz w:val="9"/>
                <w:szCs w:val="9"/>
              </w:rPr>
              <w:t>149</w:t>
            </w:r>
          </w:p>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pPr>
              <w:pStyle w:val="TableParagraph"/>
              <w:kinsoku w:val="0"/>
              <w:overflowPunct w:val="0"/>
              <w:spacing w:before="4"/>
              <w:ind w:left="107"/>
            </w:pPr>
            <w:r>
              <w:rPr>
                <w:rFonts w:ascii="Arial" w:hAnsi="Arial" w:cs="Arial"/>
                <w:w w:val="105"/>
                <w:sz w:val="9"/>
                <w:szCs w:val="9"/>
              </w:rPr>
              <w:t>12</w:t>
            </w:r>
          </w:p>
        </w:tc>
        <w:tc>
          <w:tcPr>
            <w:tcW w:w="302"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24,3</w:t>
            </w:r>
          </w:p>
        </w:tc>
        <w:tc>
          <w:tcPr>
            <w:tcW w:w="259" w:type="dxa"/>
            <w:tcBorders>
              <w:top w:val="nil"/>
              <w:left w:val="nil"/>
              <w:bottom w:val="nil"/>
              <w:right w:val="nil"/>
            </w:tcBorders>
          </w:tcPr>
          <w:p w:rsidR="00DF26C1" w:rsidRDefault="00DF26C1" w:rsidP="007B6DBD">
            <w:pPr>
              <w:pStyle w:val="TableParagraph"/>
              <w:kinsoku w:val="0"/>
              <w:overflowPunct w:val="0"/>
              <w:spacing w:before="4"/>
              <w:ind w:left="49"/>
            </w:pPr>
            <w:r>
              <w:rPr>
                <w:rFonts w:ascii="Arial" w:hAnsi="Arial" w:cs="Arial"/>
                <w:w w:val="105"/>
                <w:sz w:val="9"/>
                <w:szCs w:val="9"/>
              </w:rPr>
              <w:t>11,2</w:t>
            </w:r>
          </w:p>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pPr>
              <w:pStyle w:val="TableParagraph"/>
              <w:kinsoku w:val="0"/>
              <w:overflowPunct w:val="0"/>
              <w:spacing w:before="4"/>
              <w:ind w:left="-11"/>
            </w:pPr>
            <w:r>
              <w:rPr>
                <w:rFonts w:ascii="Arial" w:hAnsi="Arial" w:cs="Arial"/>
                <w:w w:val="105"/>
                <w:sz w:val="9"/>
                <w:szCs w:val="9"/>
              </w:rPr>
              <w:t>2,4</w:t>
            </w:r>
          </w:p>
        </w:tc>
        <w:tc>
          <w:tcPr>
            <w:tcW w:w="250"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0,8</w:t>
            </w:r>
          </w:p>
        </w:tc>
        <w:tc>
          <w:tcPr>
            <w:tcW w:w="248" w:type="dxa"/>
            <w:tcBorders>
              <w:top w:val="nil"/>
              <w:left w:val="nil"/>
              <w:bottom w:val="nil"/>
              <w:right w:val="nil"/>
            </w:tcBorders>
          </w:tcPr>
          <w:p w:rsidR="00DF26C1" w:rsidRDefault="00DF26C1" w:rsidP="007B6DBD">
            <w:pPr>
              <w:pStyle w:val="TableParagraph"/>
              <w:kinsoku w:val="0"/>
              <w:overflowPunct w:val="0"/>
              <w:spacing w:before="4"/>
              <w:ind w:left="93"/>
            </w:pPr>
            <w:r>
              <w:rPr>
                <w:rFonts w:ascii="Arial" w:hAnsi="Arial" w:cs="Arial"/>
                <w:w w:val="105"/>
                <w:sz w:val="9"/>
                <w:szCs w:val="9"/>
              </w:rPr>
              <w:t>2,4</w:t>
            </w:r>
          </w:p>
        </w:tc>
        <w:tc>
          <w:tcPr>
            <w:tcW w:w="232" w:type="dxa"/>
            <w:tcBorders>
              <w:top w:val="nil"/>
              <w:left w:val="nil"/>
              <w:bottom w:val="nil"/>
              <w:right w:val="nil"/>
            </w:tcBorders>
          </w:tcPr>
          <w:p w:rsidR="00DF26C1" w:rsidRDefault="00DF26C1" w:rsidP="007B6DBD">
            <w:pPr>
              <w:pStyle w:val="TableParagraph"/>
              <w:kinsoku w:val="0"/>
              <w:overflowPunct w:val="0"/>
              <w:spacing w:before="4"/>
              <w:ind w:left="75"/>
            </w:pPr>
            <w:r>
              <w:rPr>
                <w:rFonts w:ascii="Arial" w:hAnsi="Arial" w:cs="Arial"/>
                <w:w w:val="105"/>
                <w:sz w:val="9"/>
                <w:szCs w:val="9"/>
              </w:rPr>
              <w:t>2,3</w:t>
            </w:r>
          </w:p>
        </w:tc>
        <w:tc>
          <w:tcPr>
            <w:tcW w:w="264" w:type="dxa"/>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1,37</w:t>
            </w:r>
          </w:p>
        </w:tc>
        <w:tc>
          <w:tcPr>
            <w:tcW w:w="225" w:type="dxa"/>
            <w:gridSpan w:val="2"/>
            <w:tcBorders>
              <w:top w:val="nil"/>
              <w:left w:val="nil"/>
              <w:bottom w:val="nil"/>
              <w:right w:val="nil"/>
            </w:tcBorders>
          </w:tcPr>
          <w:p w:rsidR="00DF26C1" w:rsidRDefault="00DF26C1" w:rsidP="007B6DBD">
            <w:pPr>
              <w:pStyle w:val="TableParagraph"/>
              <w:kinsoku w:val="0"/>
              <w:overflowPunct w:val="0"/>
              <w:spacing w:before="4"/>
              <w:ind w:left="54"/>
            </w:pPr>
            <w:r>
              <w:rPr>
                <w:rFonts w:ascii="Arial" w:hAnsi="Arial" w:cs="Arial"/>
                <w:w w:val="105"/>
                <w:sz w:val="9"/>
                <w:szCs w:val="9"/>
              </w:rPr>
              <w:t>134</w:t>
            </w:r>
          </w:p>
        </w:tc>
        <w:tc>
          <w:tcPr>
            <w:tcW w:w="225" w:type="dxa"/>
            <w:tcBorders>
              <w:top w:val="nil"/>
              <w:left w:val="nil"/>
              <w:bottom w:val="nil"/>
              <w:right w:val="nil"/>
            </w:tcBorders>
          </w:tcPr>
          <w:p w:rsidR="00DF26C1" w:rsidRDefault="00DF26C1" w:rsidP="007B6DBD">
            <w:pPr>
              <w:pStyle w:val="TableParagraph"/>
              <w:kinsoku w:val="0"/>
              <w:overflowPunct w:val="0"/>
              <w:spacing w:before="4"/>
              <w:ind w:left="40"/>
            </w:pPr>
            <w:r>
              <w:rPr>
                <w:rFonts w:ascii="Arial" w:hAnsi="Arial" w:cs="Arial"/>
                <w:w w:val="105"/>
                <w:sz w:val="9"/>
                <w:szCs w:val="9"/>
              </w:rPr>
              <w:t>353</w:t>
            </w:r>
          </w:p>
        </w:tc>
        <w:tc>
          <w:tcPr>
            <w:tcW w:w="625" w:type="dxa"/>
            <w:tcBorders>
              <w:top w:val="nil"/>
              <w:left w:val="nil"/>
              <w:bottom w:val="nil"/>
              <w:right w:val="nil"/>
            </w:tcBorders>
          </w:tcPr>
          <w:p w:rsidR="00DF26C1" w:rsidRDefault="00DF26C1" w:rsidP="007B6DBD">
            <w:pPr>
              <w:pStyle w:val="TableParagraph"/>
              <w:kinsoku w:val="0"/>
              <w:overflowPunct w:val="0"/>
              <w:spacing w:before="4"/>
              <w:ind w:left="202"/>
            </w:pPr>
            <w:r>
              <w:rPr>
                <w:rFonts w:ascii="Arial" w:hAnsi="Arial" w:cs="Arial"/>
                <w:w w:val="105"/>
                <w:sz w:val="9"/>
                <w:szCs w:val="9"/>
              </w:rPr>
              <w:t>0,707456</w:t>
            </w:r>
          </w:p>
        </w:tc>
        <w:tc>
          <w:tcPr>
            <w:tcW w:w="573" w:type="dxa"/>
            <w:tcBorders>
              <w:top w:val="nil"/>
              <w:left w:val="nil"/>
              <w:bottom w:val="nil"/>
              <w:right w:val="nil"/>
            </w:tcBorders>
          </w:tcPr>
          <w:p w:rsidR="00DF26C1" w:rsidRDefault="00DF26C1" w:rsidP="007B6DBD">
            <w:pPr>
              <w:pStyle w:val="TableParagraph"/>
              <w:kinsoku w:val="0"/>
              <w:overflowPunct w:val="0"/>
              <w:spacing w:before="4"/>
              <w:ind w:left="160"/>
            </w:pPr>
            <w:r>
              <w:rPr>
                <w:rFonts w:ascii="Arial" w:hAnsi="Arial" w:cs="Arial"/>
                <w:w w:val="105"/>
                <w:sz w:val="9"/>
                <w:szCs w:val="9"/>
              </w:rPr>
              <w:t>0,707331</w:t>
            </w:r>
          </w:p>
        </w:tc>
        <w:tc>
          <w:tcPr>
            <w:tcW w:w="607" w:type="dxa"/>
            <w:tcBorders>
              <w:top w:val="nil"/>
              <w:left w:val="nil"/>
              <w:bottom w:val="nil"/>
              <w:right w:val="nil"/>
            </w:tcBorders>
          </w:tcPr>
          <w:p w:rsidR="00DF26C1" w:rsidRDefault="00DF26C1" w:rsidP="007B6DBD">
            <w:pPr>
              <w:pStyle w:val="TableParagraph"/>
              <w:kinsoku w:val="0"/>
              <w:overflowPunct w:val="0"/>
              <w:spacing w:before="4"/>
              <w:ind w:left="193"/>
            </w:pPr>
            <w:r>
              <w:rPr>
                <w:rFonts w:ascii="Arial" w:hAnsi="Arial" w:cs="Arial"/>
                <w:w w:val="105"/>
                <w:sz w:val="9"/>
                <w:szCs w:val="9"/>
              </w:rPr>
              <w:t>0,512502</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r w:rsidR="00DF26C1" w:rsidTr="007B6DBD">
        <w:trPr>
          <w:trHeight w:hRule="exact" w:val="121"/>
        </w:trPr>
        <w:tc>
          <w:tcPr>
            <w:tcW w:w="15854" w:type="dxa"/>
            <w:gridSpan w:val="48"/>
            <w:tcBorders>
              <w:top w:val="nil"/>
              <w:left w:val="nil"/>
              <w:bottom w:val="nil"/>
              <w:right w:val="nil"/>
            </w:tcBorders>
          </w:tcPr>
          <w:p w:rsidR="00DF26C1" w:rsidRDefault="00DF26C1" w:rsidP="007B6DBD">
            <w:pPr>
              <w:pStyle w:val="TableParagraph"/>
              <w:tabs>
                <w:tab w:val="left" w:pos="366"/>
              </w:tabs>
              <w:kinsoku w:val="0"/>
              <w:overflowPunct w:val="0"/>
              <w:spacing w:before="9"/>
              <w:ind w:left="23"/>
            </w:pPr>
            <w:r>
              <w:rPr>
                <w:rFonts w:ascii="Arial" w:hAnsi="Arial" w:cs="Arial"/>
                <w:spacing w:val="-3"/>
                <w:w w:val="105"/>
                <w:sz w:val="9"/>
                <w:szCs w:val="9"/>
                <w:u w:val="single"/>
              </w:rPr>
              <w:t xml:space="preserve">Tunisia </w:t>
            </w:r>
            <w:r>
              <w:rPr>
                <w:rFonts w:ascii="Arial" w:hAnsi="Arial" w:cs="Arial"/>
                <w:spacing w:val="-3"/>
                <w:sz w:val="9"/>
                <w:szCs w:val="9"/>
                <w:u w:val="single"/>
              </w:rPr>
              <w:tab/>
            </w:r>
          </w:p>
        </w:tc>
      </w:tr>
      <w:tr w:rsidR="00DF26C1" w:rsidTr="007B6DBD">
        <w:trPr>
          <w:trHeight w:hRule="exact" w:val="142"/>
        </w:trPr>
        <w:tc>
          <w:tcPr>
            <w:tcW w:w="921" w:type="dxa"/>
            <w:tcBorders>
              <w:top w:val="nil"/>
              <w:left w:val="nil"/>
              <w:bottom w:val="nil"/>
              <w:right w:val="nil"/>
            </w:tcBorders>
          </w:tcPr>
          <w:p w:rsidR="00DF26C1" w:rsidRDefault="00DF26C1" w:rsidP="007B6DBD">
            <w:pPr>
              <w:pStyle w:val="TableParagraph"/>
              <w:kinsoku w:val="0"/>
              <w:overflowPunct w:val="0"/>
              <w:spacing w:before="10"/>
              <w:ind w:left="23"/>
            </w:pPr>
            <w:r>
              <w:rPr>
                <w:rFonts w:ascii="Arial" w:hAnsi="Arial" w:cs="Arial"/>
                <w:w w:val="105"/>
                <w:sz w:val="9"/>
                <w:szCs w:val="9"/>
              </w:rPr>
              <w:t>La Galite</w:t>
            </w:r>
            <w:r>
              <w:rPr>
                <w:rFonts w:ascii="Arial" w:hAnsi="Arial" w:cs="Arial"/>
                <w:spacing w:val="-10"/>
                <w:w w:val="105"/>
                <w:sz w:val="9"/>
                <w:szCs w:val="9"/>
              </w:rPr>
              <w:t xml:space="preserve"> </w:t>
            </w:r>
            <w:r>
              <w:rPr>
                <w:rFonts w:ascii="Arial" w:hAnsi="Arial" w:cs="Arial"/>
                <w:w w:val="105"/>
                <w:sz w:val="9"/>
                <w:szCs w:val="9"/>
              </w:rPr>
              <w:t>isl</w:t>
            </w:r>
          </w:p>
        </w:tc>
        <w:tc>
          <w:tcPr>
            <w:tcW w:w="503" w:type="dxa"/>
            <w:tcBorders>
              <w:top w:val="nil"/>
              <w:left w:val="nil"/>
              <w:bottom w:val="nil"/>
              <w:right w:val="nil"/>
            </w:tcBorders>
          </w:tcPr>
          <w:p w:rsidR="00DF26C1" w:rsidRDefault="00DF26C1" w:rsidP="007B6DBD">
            <w:pPr>
              <w:pStyle w:val="TableParagraph"/>
              <w:kinsoku w:val="0"/>
              <w:overflowPunct w:val="0"/>
              <w:spacing w:before="3"/>
              <w:ind w:left="17"/>
              <w:jc w:val="center"/>
            </w:pPr>
            <w:r>
              <w:rPr>
                <w:rFonts w:ascii="Arial" w:hAnsi="Arial" w:cs="Arial"/>
                <w:w w:val="105"/>
                <w:sz w:val="9"/>
                <w:szCs w:val="9"/>
              </w:rPr>
              <w:t>41</w:t>
            </w:r>
          </w:p>
        </w:tc>
        <w:tc>
          <w:tcPr>
            <w:tcW w:w="624" w:type="dxa"/>
            <w:tcBorders>
              <w:top w:val="nil"/>
              <w:left w:val="nil"/>
              <w:bottom w:val="nil"/>
              <w:right w:val="nil"/>
            </w:tcBorders>
          </w:tcPr>
          <w:p w:rsidR="00DF26C1" w:rsidRDefault="00DF26C1" w:rsidP="007B6DBD">
            <w:pPr>
              <w:pStyle w:val="TableParagraph"/>
              <w:kinsoku w:val="0"/>
              <w:overflowPunct w:val="0"/>
              <w:spacing w:before="3"/>
              <w:ind w:left="16"/>
            </w:pPr>
            <w:r>
              <w:rPr>
                <w:rFonts w:ascii="Arial" w:hAnsi="Arial" w:cs="Arial"/>
                <w:w w:val="105"/>
                <w:sz w:val="9"/>
                <w:szCs w:val="9"/>
              </w:rPr>
              <w:t>granodiorite</w:t>
            </w:r>
          </w:p>
        </w:tc>
        <w:tc>
          <w:tcPr>
            <w:tcW w:w="559" w:type="dxa"/>
            <w:tcBorders>
              <w:top w:val="nil"/>
              <w:left w:val="nil"/>
              <w:bottom w:val="nil"/>
              <w:right w:val="nil"/>
            </w:tcBorders>
          </w:tcPr>
          <w:p w:rsidR="00DF26C1" w:rsidRDefault="00DF26C1" w:rsidP="007B6DBD"/>
        </w:tc>
        <w:tc>
          <w:tcPr>
            <w:tcW w:w="503" w:type="dxa"/>
            <w:tcBorders>
              <w:top w:val="nil"/>
              <w:left w:val="nil"/>
              <w:bottom w:val="nil"/>
              <w:right w:val="nil"/>
            </w:tcBorders>
          </w:tcPr>
          <w:p w:rsidR="00DF26C1" w:rsidRDefault="00DF26C1" w:rsidP="007B6DBD">
            <w:pPr>
              <w:pStyle w:val="TableParagraph"/>
              <w:kinsoku w:val="0"/>
              <w:overflowPunct w:val="0"/>
              <w:spacing w:before="3"/>
              <w:ind w:left="21"/>
            </w:pPr>
            <w:r>
              <w:rPr>
                <w:rFonts w:ascii="Arial" w:hAnsi="Arial" w:cs="Arial"/>
                <w:w w:val="105"/>
                <w:sz w:val="9"/>
                <w:szCs w:val="9"/>
              </w:rPr>
              <w:t>hK-CA</w:t>
            </w:r>
          </w:p>
        </w:tc>
        <w:tc>
          <w:tcPr>
            <w:tcW w:w="611" w:type="dxa"/>
            <w:tcBorders>
              <w:top w:val="nil"/>
              <w:left w:val="nil"/>
              <w:bottom w:val="nil"/>
              <w:right w:val="nil"/>
            </w:tcBorders>
          </w:tcPr>
          <w:p w:rsidR="00DF26C1" w:rsidRDefault="00DF26C1" w:rsidP="007B6DBD"/>
        </w:tc>
        <w:tc>
          <w:tcPr>
            <w:tcW w:w="437" w:type="dxa"/>
            <w:tcBorders>
              <w:top w:val="nil"/>
              <w:left w:val="nil"/>
              <w:bottom w:val="nil"/>
              <w:right w:val="nil"/>
            </w:tcBorders>
          </w:tcPr>
          <w:p w:rsidR="00DF26C1" w:rsidRDefault="00DF26C1" w:rsidP="007B6DBD">
            <w:pPr>
              <w:pStyle w:val="TableParagraph"/>
              <w:kinsoku w:val="0"/>
              <w:overflowPunct w:val="0"/>
              <w:spacing w:before="3"/>
              <w:ind w:left="18"/>
            </w:pPr>
            <w:r>
              <w:rPr>
                <w:rFonts w:ascii="Arial" w:hAnsi="Arial" w:cs="Arial"/>
                <w:w w:val="105"/>
                <w:sz w:val="9"/>
                <w:szCs w:val="9"/>
              </w:rPr>
              <w:t>La-L.</w:t>
            </w:r>
            <w:r>
              <w:rPr>
                <w:rFonts w:ascii="Arial" w:hAnsi="Arial" w:cs="Arial"/>
                <w:spacing w:val="-3"/>
                <w:w w:val="105"/>
                <w:sz w:val="9"/>
                <w:szCs w:val="9"/>
              </w:rPr>
              <w:t xml:space="preserve"> </w:t>
            </w:r>
            <w:r>
              <w:rPr>
                <w:rFonts w:ascii="Arial" w:hAnsi="Arial" w:cs="Arial"/>
                <w:w w:val="105"/>
                <w:sz w:val="9"/>
                <w:szCs w:val="9"/>
              </w:rPr>
              <w:t>Mio</w:t>
            </w:r>
          </w:p>
        </w:tc>
        <w:tc>
          <w:tcPr>
            <w:tcW w:w="320" w:type="dxa"/>
            <w:tcBorders>
              <w:top w:val="nil"/>
              <w:left w:val="nil"/>
              <w:bottom w:val="nil"/>
              <w:right w:val="nil"/>
            </w:tcBorders>
          </w:tcPr>
          <w:p w:rsidR="00DF26C1" w:rsidRDefault="00DF26C1" w:rsidP="007B6DBD">
            <w:pPr>
              <w:pStyle w:val="TableParagraph"/>
              <w:kinsoku w:val="0"/>
              <w:overflowPunct w:val="0"/>
              <w:spacing w:before="3"/>
              <w:ind w:left="112"/>
            </w:pPr>
            <w:r>
              <w:rPr>
                <w:rFonts w:ascii="Arial" w:hAnsi="Arial" w:cs="Arial"/>
                <w:w w:val="105"/>
                <w:sz w:val="9"/>
                <w:szCs w:val="9"/>
              </w:rPr>
              <w:t>33</w:t>
            </w:r>
          </w:p>
        </w:tc>
        <w:tc>
          <w:tcPr>
            <w:tcW w:w="262" w:type="dxa"/>
            <w:tcBorders>
              <w:top w:val="nil"/>
              <w:left w:val="nil"/>
              <w:bottom w:val="nil"/>
              <w:right w:val="nil"/>
            </w:tcBorders>
          </w:tcPr>
          <w:p w:rsidR="00DF26C1" w:rsidRDefault="00DF26C1" w:rsidP="007B6DBD"/>
        </w:tc>
        <w:tc>
          <w:tcPr>
            <w:tcW w:w="294" w:type="dxa"/>
            <w:tcBorders>
              <w:top w:val="nil"/>
              <w:left w:val="nil"/>
              <w:bottom w:val="nil"/>
              <w:right w:val="nil"/>
            </w:tcBorders>
          </w:tcPr>
          <w:p w:rsidR="00DF26C1" w:rsidRDefault="00DF26C1" w:rsidP="007B6DBD"/>
        </w:tc>
        <w:tc>
          <w:tcPr>
            <w:tcW w:w="293" w:type="dxa"/>
            <w:tcBorders>
              <w:top w:val="nil"/>
              <w:left w:val="nil"/>
              <w:bottom w:val="nil"/>
              <w:right w:val="nil"/>
            </w:tcBorders>
          </w:tcPr>
          <w:p w:rsidR="00DF26C1" w:rsidRDefault="00DF26C1" w:rsidP="007B6DBD"/>
        </w:tc>
        <w:tc>
          <w:tcPr>
            <w:tcW w:w="308" w:type="dxa"/>
            <w:tcBorders>
              <w:top w:val="nil"/>
              <w:left w:val="nil"/>
              <w:bottom w:val="nil"/>
              <w:right w:val="nil"/>
            </w:tcBorders>
          </w:tcPr>
          <w:p w:rsidR="00DF26C1" w:rsidRDefault="00DF26C1" w:rsidP="007B6DBD"/>
        </w:tc>
        <w:tc>
          <w:tcPr>
            <w:tcW w:w="353" w:type="dxa"/>
            <w:tcBorders>
              <w:top w:val="nil"/>
              <w:left w:val="nil"/>
              <w:bottom w:val="nil"/>
              <w:right w:val="nil"/>
            </w:tcBorders>
          </w:tcPr>
          <w:p w:rsidR="00DF26C1" w:rsidRDefault="00DF26C1" w:rsidP="007B6DBD"/>
        </w:tc>
        <w:tc>
          <w:tcPr>
            <w:tcW w:w="234" w:type="dxa"/>
            <w:tcBorders>
              <w:top w:val="nil"/>
              <w:left w:val="nil"/>
              <w:bottom w:val="nil"/>
              <w:right w:val="nil"/>
            </w:tcBorders>
          </w:tcPr>
          <w:p w:rsidR="00DF26C1" w:rsidRDefault="00DF26C1" w:rsidP="007B6DBD"/>
        </w:tc>
        <w:tc>
          <w:tcPr>
            <w:tcW w:w="224" w:type="dxa"/>
            <w:tcBorders>
              <w:top w:val="nil"/>
              <w:left w:val="nil"/>
              <w:bottom w:val="nil"/>
              <w:right w:val="nil"/>
            </w:tcBorders>
          </w:tcPr>
          <w:p w:rsidR="00DF26C1" w:rsidRDefault="00DF26C1" w:rsidP="007B6DBD"/>
        </w:tc>
        <w:tc>
          <w:tcPr>
            <w:tcW w:w="269" w:type="dxa"/>
            <w:tcBorders>
              <w:top w:val="nil"/>
              <w:left w:val="nil"/>
              <w:bottom w:val="nil"/>
              <w:right w:val="nil"/>
            </w:tcBorders>
          </w:tcPr>
          <w:p w:rsidR="00DF26C1" w:rsidRDefault="00DF26C1" w:rsidP="007B6DBD"/>
        </w:tc>
        <w:tc>
          <w:tcPr>
            <w:tcW w:w="261" w:type="dxa"/>
            <w:tcBorders>
              <w:top w:val="nil"/>
              <w:left w:val="nil"/>
              <w:bottom w:val="nil"/>
              <w:right w:val="nil"/>
            </w:tcBorders>
          </w:tcPr>
          <w:p w:rsidR="00DF26C1" w:rsidRDefault="00DF26C1" w:rsidP="007B6DBD"/>
        </w:tc>
        <w:tc>
          <w:tcPr>
            <w:tcW w:w="278" w:type="dxa"/>
            <w:tcBorders>
              <w:top w:val="nil"/>
              <w:left w:val="nil"/>
              <w:bottom w:val="nil"/>
              <w:right w:val="nil"/>
            </w:tcBorders>
          </w:tcPr>
          <w:p w:rsidR="00DF26C1" w:rsidRDefault="00DF26C1" w:rsidP="007B6DBD"/>
        </w:tc>
        <w:tc>
          <w:tcPr>
            <w:tcW w:w="237" w:type="dxa"/>
            <w:tcBorders>
              <w:top w:val="nil"/>
              <w:left w:val="nil"/>
              <w:bottom w:val="nil"/>
              <w:right w:val="nil"/>
            </w:tcBorders>
          </w:tcPr>
          <w:p w:rsidR="00DF26C1" w:rsidRDefault="00DF26C1" w:rsidP="007B6DBD"/>
        </w:tc>
        <w:tc>
          <w:tcPr>
            <w:tcW w:w="296" w:type="dxa"/>
            <w:tcBorders>
              <w:top w:val="nil"/>
              <w:left w:val="nil"/>
              <w:bottom w:val="nil"/>
              <w:right w:val="nil"/>
            </w:tcBorders>
          </w:tcPr>
          <w:p w:rsidR="00DF26C1" w:rsidRDefault="00DF26C1" w:rsidP="007B6DBD"/>
        </w:tc>
        <w:tc>
          <w:tcPr>
            <w:tcW w:w="274" w:type="dxa"/>
            <w:tcBorders>
              <w:top w:val="nil"/>
              <w:left w:val="nil"/>
              <w:bottom w:val="nil"/>
              <w:right w:val="nil"/>
            </w:tcBorders>
          </w:tcPr>
          <w:p w:rsidR="00DF26C1" w:rsidRDefault="00DF26C1" w:rsidP="007B6DBD"/>
        </w:tc>
        <w:tc>
          <w:tcPr>
            <w:tcW w:w="350"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70" w:type="dxa"/>
            <w:tcBorders>
              <w:top w:val="nil"/>
              <w:left w:val="nil"/>
              <w:bottom w:val="nil"/>
              <w:right w:val="nil"/>
            </w:tcBorders>
          </w:tcPr>
          <w:p w:rsidR="00DF26C1" w:rsidRDefault="00DF26C1" w:rsidP="007B6DBD"/>
        </w:tc>
        <w:tc>
          <w:tcPr>
            <w:tcW w:w="253" w:type="dxa"/>
            <w:tcBorders>
              <w:top w:val="nil"/>
              <w:left w:val="nil"/>
              <w:bottom w:val="nil"/>
              <w:right w:val="nil"/>
            </w:tcBorders>
          </w:tcPr>
          <w:p w:rsidR="00DF26C1" w:rsidRDefault="00DF26C1" w:rsidP="007B6DBD"/>
        </w:tc>
        <w:tc>
          <w:tcPr>
            <w:tcW w:w="245"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223" w:type="dxa"/>
            <w:tcBorders>
              <w:top w:val="nil"/>
              <w:left w:val="nil"/>
              <w:bottom w:val="nil"/>
              <w:right w:val="nil"/>
            </w:tcBorders>
          </w:tcPr>
          <w:p w:rsidR="00DF26C1" w:rsidRDefault="00DF26C1" w:rsidP="007B6DBD"/>
        </w:tc>
        <w:tc>
          <w:tcPr>
            <w:tcW w:w="281" w:type="dxa"/>
            <w:tcBorders>
              <w:top w:val="nil"/>
              <w:left w:val="nil"/>
              <w:bottom w:val="nil"/>
              <w:right w:val="nil"/>
            </w:tcBorders>
          </w:tcPr>
          <w:p w:rsidR="00DF26C1" w:rsidRDefault="00DF26C1" w:rsidP="007B6DBD"/>
        </w:tc>
        <w:tc>
          <w:tcPr>
            <w:tcW w:w="231" w:type="dxa"/>
            <w:tcBorders>
              <w:top w:val="nil"/>
              <w:left w:val="nil"/>
              <w:bottom w:val="nil"/>
              <w:right w:val="nil"/>
            </w:tcBorders>
          </w:tcPr>
          <w:p w:rsidR="00DF26C1" w:rsidRDefault="00DF26C1" w:rsidP="007B6DBD"/>
        </w:tc>
        <w:tc>
          <w:tcPr>
            <w:tcW w:w="255" w:type="dxa"/>
            <w:tcBorders>
              <w:top w:val="nil"/>
              <w:left w:val="nil"/>
              <w:bottom w:val="nil"/>
              <w:right w:val="nil"/>
            </w:tcBorders>
          </w:tcPr>
          <w:p w:rsidR="00DF26C1" w:rsidRDefault="00DF26C1" w:rsidP="007B6DBD"/>
        </w:tc>
        <w:tc>
          <w:tcPr>
            <w:tcW w:w="302" w:type="dxa"/>
            <w:tcBorders>
              <w:top w:val="nil"/>
              <w:left w:val="nil"/>
              <w:bottom w:val="nil"/>
              <w:right w:val="nil"/>
            </w:tcBorders>
          </w:tcPr>
          <w:p w:rsidR="00DF26C1" w:rsidRDefault="00DF26C1" w:rsidP="007B6DBD"/>
        </w:tc>
        <w:tc>
          <w:tcPr>
            <w:tcW w:w="259" w:type="dxa"/>
            <w:tcBorders>
              <w:top w:val="nil"/>
              <w:left w:val="nil"/>
              <w:bottom w:val="nil"/>
              <w:right w:val="nil"/>
            </w:tcBorders>
          </w:tcPr>
          <w:p w:rsidR="00DF26C1" w:rsidRDefault="00DF26C1" w:rsidP="007B6DBD"/>
        </w:tc>
        <w:tc>
          <w:tcPr>
            <w:tcW w:w="147" w:type="dxa"/>
            <w:tcBorders>
              <w:top w:val="nil"/>
              <w:left w:val="nil"/>
              <w:bottom w:val="nil"/>
              <w:right w:val="nil"/>
            </w:tcBorders>
          </w:tcPr>
          <w:p w:rsidR="00DF26C1" w:rsidRDefault="00DF26C1" w:rsidP="007B6DBD"/>
        </w:tc>
        <w:tc>
          <w:tcPr>
            <w:tcW w:w="146" w:type="dxa"/>
            <w:tcBorders>
              <w:top w:val="nil"/>
              <w:left w:val="nil"/>
              <w:bottom w:val="nil"/>
              <w:right w:val="nil"/>
            </w:tcBorders>
          </w:tcPr>
          <w:p w:rsidR="00DF26C1" w:rsidRDefault="00DF26C1" w:rsidP="007B6DBD"/>
        </w:tc>
        <w:tc>
          <w:tcPr>
            <w:tcW w:w="250" w:type="dxa"/>
            <w:tcBorders>
              <w:top w:val="nil"/>
              <w:left w:val="nil"/>
              <w:bottom w:val="nil"/>
              <w:right w:val="nil"/>
            </w:tcBorders>
          </w:tcPr>
          <w:p w:rsidR="00DF26C1" w:rsidRDefault="00DF26C1" w:rsidP="007B6DBD"/>
        </w:tc>
        <w:tc>
          <w:tcPr>
            <w:tcW w:w="248" w:type="dxa"/>
            <w:tcBorders>
              <w:top w:val="nil"/>
              <w:left w:val="nil"/>
              <w:bottom w:val="nil"/>
              <w:right w:val="nil"/>
            </w:tcBorders>
          </w:tcPr>
          <w:p w:rsidR="00DF26C1" w:rsidRDefault="00DF26C1" w:rsidP="007B6DBD"/>
        </w:tc>
        <w:tc>
          <w:tcPr>
            <w:tcW w:w="232" w:type="dxa"/>
            <w:tcBorders>
              <w:top w:val="nil"/>
              <w:left w:val="nil"/>
              <w:bottom w:val="nil"/>
              <w:right w:val="nil"/>
            </w:tcBorders>
          </w:tcPr>
          <w:p w:rsidR="00DF26C1" w:rsidRDefault="00DF26C1" w:rsidP="007B6DBD"/>
        </w:tc>
        <w:tc>
          <w:tcPr>
            <w:tcW w:w="264" w:type="dxa"/>
            <w:tcBorders>
              <w:top w:val="nil"/>
              <w:left w:val="nil"/>
              <w:bottom w:val="nil"/>
              <w:right w:val="nil"/>
            </w:tcBorders>
          </w:tcPr>
          <w:p w:rsidR="00DF26C1" w:rsidRDefault="00DF26C1" w:rsidP="007B6DBD"/>
        </w:tc>
        <w:tc>
          <w:tcPr>
            <w:tcW w:w="118" w:type="dxa"/>
            <w:tcBorders>
              <w:top w:val="nil"/>
              <w:left w:val="nil"/>
              <w:bottom w:val="nil"/>
              <w:right w:val="nil"/>
            </w:tcBorders>
          </w:tcPr>
          <w:p w:rsidR="00DF26C1" w:rsidRDefault="00DF26C1" w:rsidP="007B6DBD"/>
        </w:tc>
        <w:tc>
          <w:tcPr>
            <w:tcW w:w="107" w:type="dxa"/>
            <w:tcBorders>
              <w:top w:val="nil"/>
              <w:left w:val="nil"/>
              <w:bottom w:val="nil"/>
              <w:right w:val="nil"/>
            </w:tcBorders>
          </w:tcPr>
          <w:p w:rsidR="00DF26C1" w:rsidRDefault="00DF26C1" w:rsidP="007B6DBD"/>
        </w:tc>
        <w:tc>
          <w:tcPr>
            <w:tcW w:w="225" w:type="dxa"/>
            <w:tcBorders>
              <w:top w:val="nil"/>
              <w:left w:val="nil"/>
              <w:bottom w:val="nil"/>
              <w:right w:val="nil"/>
            </w:tcBorders>
          </w:tcPr>
          <w:p w:rsidR="00DF26C1" w:rsidRDefault="00DF26C1" w:rsidP="007B6DBD"/>
        </w:tc>
        <w:tc>
          <w:tcPr>
            <w:tcW w:w="625" w:type="dxa"/>
            <w:tcBorders>
              <w:top w:val="nil"/>
              <w:left w:val="nil"/>
              <w:bottom w:val="nil"/>
              <w:right w:val="nil"/>
            </w:tcBorders>
          </w:tcPr>
          <w:p w:rsidR="00DF26C1" w:rsidRDefault="00DF26C1" w:rsidP="007B6DBD">
            <w:pPr>
              <w:pStyle w:val="TableParagraph"/>
              <w:kinsoku w:val="0"/>
              <w:overflowPunct w:val="0"/>
              <w:spacing w:before="3"/>
              <w:ind w:left="308"/>
            </w:pPr>
            <w:r>
              <w:rPr>
                <w:rFonts w:ascii="Arial" w:hAnsi="Arial" w:cs="Arial"/>
                <w:w w:val="105"/>
                <w:sz w:val="9"/>
                <w:szCs w:val="9"/>
              </w:rPr>
              <w:t>0,7145</w:t>
            </w:r>
          </w:p>
        </w:tc>
        <w:tc>
          <w:tcPr>
            <w:tcW w:w="573" w:type="dxa"/>
            <w:tcBorders>
              <w:top w:val="nil"/>
              <w:left w:val="nil"/>
              <w:bottom w:val="nil"/>
              <w:right w:val="nil"/>
            </w:tcBorders>
          </w:tcPr>
          <w:p w:rsidR="00DF26C1" w:rsidRDefault="00DF26C1" w:rsidP="007B6DBD"/>
        </w:tc>
        <w:tc>
          <w:tcPr>
            <w:tcW w:w="607" w:type="dxa"/>
            <w:tcBorders>
              <w:top w:val="nil"/>
              <w:left w:val="nil"/>
              <w:bottom w:val="nil"/>
              <w:right w:val="nil"/>
            </w:tcBorders>
          </w:tcPr>
          <w:p w:rsidR="00DF26C1" w:rsidRDefault="00DF26C1" w:rsidP="007B6DBD">
            <w:pPr>
              <w:pStyle w:val="TableParagraph"/>
              <w:kinsoku w:val="0"/>
              <w:overflowPunct w:val="0"/>
              <w:spacing w:before="3"/>
              <w:ind w:left="298"/>
            </w:pPr>
            <w:r>
              <w:rPr>
                <w:rFonts w:ascii="Arial" w:hAnsi="Arial" w:cs="Arial"/>
                <w:w w:val="105"/>
                <w:sz w:val="9"/>
                <w:szCs w:val="9"/>
              </w:rPr>
              <w:t>0,5122</w:t>
            </w:r>
          </w:p>
        </w:tc>
        <w:tc>
          <w:tcPr>
            <w:tcW w:w="359" w:type="dxa"/>
            <w:tcBorders>
              <w:top w:val="nil"/>
              <w:left w:val="nil"/>
              <w:bottom w:val="nil"/>
              <w:right w:val="nil"/>
            </w:tcBorders>
          </w:tcPr>
          <w:p w:rsidR="00DF26C1" w:rsidRDefault="00DF26C1" w:rsidP="007B6DBD"/>
        </w:tc>
        <w:tc>
          <w:tcPr>
            <w:tcW w:w="358" w:type="dxa"/>
            <w:tcBorders>
              <w:top w:val="nil"/>
              <w:left w:val="nil"/>
              <w:bottom w:val="nil"/>
              <w:right w:val="nil"/>
            </w:tcBorders>
          </w:tcPr>
          <w:p w:rsidR="00DF26C1" w:rsidRDefault="00DF26C1" w:rsidP="007B6DBD"/>
        </w:tc>
        <w:tc>
          <w:tcPr>
            <w:tcW w:w="347" w:type="dxa"/>
            <w:tcBorders>
              <w:top w:val="nil"/>
              <w:left w:val="nil"/>
              <w:bottom w:val="nil"/>
              <w:right w:val="nil"/>
            </w:tcBorders>
          </w:tcPr>
          <w:p w:rsidR="00DF26C1" w:rsidRDefault="00DF26C1" w:rsidP="007B6DBD"/>
        </w:tc>
      </w:tr>
    </w:tbl>
    <w:p w:rsidR="00DF26C1" w:rsidRPr="00B248EB" w:rsidRDefault="00DF26C1" w:rsidP="00DF26C1">
      <w:pPr>
        <w:rPr>
          <w:lang w:val="it-IT"/>
        </w:rPr>
      </w:pPr>
    </w:p>
    <w:p w:rsidR="00DF26C1" w:rsidRDefault="00DF26C1">
      <w:pPr>
        <w:suppressAutoHyphens w:val="0"/>
        <w:autoSpaceDE/>
        <w:spacing w:line="240" w:lineRule="auto"/>
        <w:jc w:val="left"/>
        <w:rPr>
          <w:rFonts w:ascii="New York" w:hAnsi="New York" w:cs="New York"/>
          <w:b/>
          <w:bCs/>
          <w:sz w:val="22"/>
          <w:szCs w:val="22"/>
          <w:lang w:val="it-IT" w:eastAsia="it-IT"/>
        </w:rPr>
      </w:pPr>
      <w:r>
        <w:rPr>
          <w:b/>
          <w:bCs/>
          <w:sz w:val="22"/>
          <w:szCs w:val="22"/>
        </w:rPr>
        <w:br w:type="page"/>
      </w:r>
    </w:p>
    <w:p w:rsidR="00DF26C1" w:rsidRDefault="00DF26C1" w:rsidP="00DF26C1">
      <w:pPr>
        <w:pStyle w:val="Testonormale"/>
        <w:spacing w:line="240" w:lineRule="auto"/>
        <w:ind w:left="-426" w:hanging="283"/>
        <w:jc w:val="both"/>
        <w:rPr>
          <w:b/>
          <w:bCs/>
          <w:sz w:val="22"/>
          <w:szCs w:val="22"/>
        </w:rPr>
      </w:pPr>
    </w:p>
    <w:p w:rsidR="00DF26C1" w:rsidRDefault="00DF26C1">
      <w:pPr>
        <w:suppressAutoHyphens w:val="0"/>
        <w:autoSpaceDE/>
        <w:spacing w:line="240" w:lineRule="auto"/>
        <w:jc w:val="left"/>
        <w:rPr>
          <w:rFonts w:ascii="New York" w:hAnsi="New York" w:cs="New York"/>
          <w:b/>
          <w:bCs/>
          <w:sz w:val="22"/>
          <w:szCs w:val="22"/>
          <w:lang w:val="it-IT" w:eastAsia="it-IT"/>
        </w:rPr>
      </w:pPr>
    </w:p>
    <w:p w:rsidR="00DF26C1" w:rsidRDefault="00DF26C1" w:rsidP="00DF26C1">
      <w:pPr>
        <w:pStyle w:val="Testonormale"/>
        <w:spacing w:line="240" w:lineRule="auto"/>
        <w:ind w:left="-426"/>
        <w:jc w:val="both"/>
        <w:rPr>
          <w:rFonts w:ascii="Times New Roman" w:hAnsi="Times New Roman" w:cs="Times New Roman"/>
          <w:sz w:val="22"/>
          <w:szCs w:val="22"/>
        </w:rPr>
      </w:pPr>
      <w:r>
        <w:rPr>
          <w:rFonts w:ascii="Times New Roman" w:hAnsi="Times New Roman" w:cs="Times New Roman"/>
          <w:b/>
          <w:bCs/>
          <w:sz w:val="22"/>
          <w:szCs w:val="22"/>
          <w:lang w:val="en-GB"/>
        </w:rPr>
        <w:t>Supplementary – Table S5:</w:t>
      </w:r>
      <w:r w:rsidRPr="0064535E">
        <w:rPr>
          <w:rFonts w:ascii="Times New Roman" w:hAnsi="Times New Roman" w:cs="Times New Roman"/>
          <w:b/>
          <w:bCs/>
          <w:sz w:val="22"/>
          <w:szCs w:val="22"/>
          <w:lang w:val="en-GB"/>
        </w:rPr>
        <w:t xml:space="preserve"> </w:t>
      </w:r>
      <w:r w:rsidRPr="0064535E">
        <w:rPr>
          <w:rFonts w:ascii="Times New Roman" w:hAnsi="Times New Roman" w:cs="Times New Roman"/>
          <w:sz w:val="22"/>
          <w:szCs w:val="22"/>
          <w:lang w:val="en-GB"/>
        </w:rPr>
        <w:t xml:space="preserve">Table </w:t>
      </w:r>
      <w:r>
        <w:rPr>
          <w:rFonts w:ascii="Times New Roman" w:hAnsi="Times New Roman" w:cs="Times New Roman"/>
          <w:sz w:val="22"/>
          <w:szCs w:val="22"/>
          <w:lang w:val="en-GB"/>
        </w:rPr>
        <w:t>of</w:t>
      </w:r>
      <w:r w:rsidRPr="0064535E">
        <w:rPr>
          <w:rFonts w:ascii="Times New Roman" w:hAnsi="Times New Roman" w:cs="Times New Roman"/>
          <w:sz w:val="22"/>
          <w:szCs w:val="22"/>
          <w:lang w:val="en-GB"/>
        </w:rPr>
        <w:t xml:space="preserve"> </w:t>
      </w:r>
      <w:r>
        <w:rPr>
          <w:rFonts w:ascii="Times New Roman" w:hAnsi="Times New Roman" w:cs="Times New Roman"/>
          <w:sz w:val="22"/>
          <w:szCs w:val="22"/>
          <w:lang w:val="en-GB"/>
        </w:rPr>
        <w:t>s</w:t>
      </w:r>
      <w:r w:rsidRPr="0064535E">
        <w:rPr>
          <w:rFonts w:ascii="Times New Roman" w:hAnsi="Times New Roman" w:cs="Times New Roman"/>
          <w:sz w:val="22"/>
          <w:szCs w:val="22"/>
          <w:lang w:val="en-GB"/>
        </w:rPr>
        <w:t xml:space="preserve">ite, formation, age and stratigraphic data of calc-alkaline volcanogenic allochthonous sediments from the Apennines and the Maghrebid-Betic region. Key: SIV, stratigraphic interval with volcanogenic sediments (meters); VTT, total thickness of volcanoclastic beds; TVB, thickest volcanogenic bed. Fig. 3: elongated triangles without black rim of red, gray and yellow colour indicate beds of Oligocene-Aquitanian, Burdigalian and Langhian-Tortonian age. </w:t>
      </w:r>
      <w:r w:rsidRPr="0064535E">
        <w:rPr>
          <w:rFonts w:ascii="Times New Roman" w:hAnsi="Times New Roman" w:cs="Times New Roman"/>
          <w:sz w:val="22"/>
          <w:szCs w:val="22"/>
        </w:rPr>
        <w:t>References.- [1] Guerrera et al. 1998 and references therein; [2] Guerrera et al. 2005 and references therein; [3] Critelli et al., 1990; [4] Maate et al., 1995; [5] Riviere et al., 1977; [6] Balogh et al. 1993 and references therein; [6a] Critelli et al., 1990a; [7] Spadea et al. 1974; [8] Le Pera et al., 1994; [9] Balogh et al., 2001; [10] Borsetti et al., 1984; [11] Guerrera et al., 1993 and references therein; [11a] Perrone, 1987; [12] de Capoa et al., 2002; [13] Baruffini et al., 2002; [14] Faugères et al., 1992; [15] Delle Rose et al.,1994a and references therein; [16] Crisci et al., 1988; [17] Mattioli et al. 2002; [18] Cibin et al., 1998; [19] Tateo, 1993; [20] Mezzetti et al., 1964; [21] Cibin et al., 2001; [22] Amorosi et al., 1994; [23] Coccioni et al., 1988; [24] Guerrera, 1977; [25] Guerrera et al.,1986; [26] Delle Rose et al., 1994b; [27] Guerrera et al., 2004; [28] Mattioli et al., 2000.</w:t>
      </w:r>
    </w:p>
    <w:p w:rsidR="00525891" w:rsidRDefault="00525891">
      <w:pPr>
        <w:suppressAutoHyphens w:val="0"/>
        <w:autoSpaceDE/>
        <w:spacing w:line="240" w:lineRule="auto"/>
        <w:jc w:val="left"/>
        <w:rPr>
          <w:sz w:val="22"/>
          <w:szCs w:val="22"/>
          <w:lang w:val="it-IT" w:eastAsia="it-IT"/>
        </w:rPr>
      </w:pPr>
      <w:r w:rsidRPr="00525891">
        <w:rPr>
          <w:sz w:val="22"/>
          <w:szCs w:val="22"/>
          <w:lang w:val="it-IT"/>
        </w:rPr>
        <w:br w:type="page"/>
      </w:r>
    </w:p>
    <w:p w:rsidR="00DF26C1" w:rsidRPr="00B43ED1" w:rsidRDefault="00DF26C1" w:rsidP="00DF26C1">
      <w:pPr>
        <w:pStyle w:val="Testonormale"/>
        <w:spacing w:line="240" w:lineRule="auto"/>
        <w:ind w:hanging="284"/>
        <w:jc w:val="both"/>
        <w:rPr>
          <w:rFonts w:ascii="Times New Roman" w:hAnsi="Times New Roman" w:cs="Times New Roman"/>
          <w:b/>
          <w:bCs/>
          <w:sz w:val="22"/>
          <w:szCs w:val="22"/>
        </w:rPr>
      </w:pPr>
    </w:p>
    <w:tbl>
      <w:tblPr>
        <w:tblW w:w="11199" w:type="dxa"/>
        <w:tblInd w:w="-1129" w:type="dxa"/>
        <w:tblLayout w:type="fixed"/>
        <w:tblCellMar>
          <w:left w:w="0" w:type="dxa"/>
          <w:right w:w="0" w:type="dxa"/>
        </w:tblCellMar>
        <w:tblLook w:val="0000"/>
      </w:tblPr>
      <w:tblGrid>
        <w:gridCol w:w="1372"/>
        <w:gridCol w:w="46"/>
        <w:gridCol w:w="1214"/>
        <w:gridCol w:w="62"/>
        <w:gridCol w:w="1134"/>
        <w:gridCol w:w="64"/>
        <w:gridCol w:w="1440"/>
        <w:gridCol w:w="55"/>
        <w:gridCol w:w="2214"/>
        <w:gridCol w:w="54"/>
        <w:gridCol w:w="18"/>
        <w:gridCol w:w="1581"/>
        <w:gridCol w:w="39"/>
        <w:gridCol w:w="63"/>
        <w:gridCol w:w="1000"/>
        <w:gridCol w:w="17"/>
        <w:gridCol w:w="117"/>
        <w:gridCol w:w="709"/>
      </w:tblGrid>
      <w:tr w:rsidR="00DF26C1" w:rsidTr="0072057D">
        <w:trPr>
          <w:trHeight w:hRule="exact" w:val="1253"/>
        </w:trPr>
        <w:tc>
          <w:tcPr>
            <w:tcW w:w="1418" w:type="dxa"/>
            <w:gridSpan w:val="2"/>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spacing w:line="480" w:lineRule="auto"/>
              <w:ind w:left="86" w:right="83" w:firstLine="115"/>
              <w:jc w:val="both"/>
            </w:pPr>
            <w:r>
              <w:rPr>
                <w:sz w:val="18"/>
                <w:szCs w:val="18"/>
              </w:rPr>
              <w:t>SECTOR, DOMAIN, SITE (Fig.</w:t>
            </w:r>
            <w:r>
              <w:rPr>
                <w:spacing w:val="-2"/>
                <w:sz w:val="18"/>
                <w:szCs w:val="18"/>
              </w:rPr>
              <w:t xml:space="preserve"> </w:t>
            </w:r>
            <w:r>
              <w:rPr>
                <w:sz w:val="18"/>
                <w:szCs w:val="18"/>
              </w:rPr>
              <w:t>3)</w:t>
            </w:r>
          </w:p>
        </w:tc>
        <w:tc>
          <w:tcPr>
            <w:tcW w:w="1276" w:type="dxa"/>
            <w:gridSpan w:val="2"/>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rPr>
                <w:sz w:val="18"/>
                <w:szCs w:val="18"/>
              </w:rPr>
            </w:pPr>
          </w:p>
          <w:p w:rsidR="00DF26C1" w:rsidRDefault="00DF26C1" w:rsidP="007B6DBD">
            <w:pPr>
              <w:pStyle w:val="TableParagraph"/>
              <w:kinsoku w:val="0"/>
              <w:overflowPunct w:val="0"/>
              <w:spacing w:before="8"/>
              <w:rPr>
                <w:sz w:val="17"/>
                <w:szCs w:val="17"/>
              </w:rPr>
            </w:pPr>
          </w:p>
          <w:p w:rsidR="00DF26C1" w:rsidRDefault="00DF26C1" w:rsidP="007B6DBD">
            <w:pPr>
              <w:pStyle w:val="TableParagraph"/>
              <w:kinsoku w:val="0"/>
              <w:overflowPunct w:val="0"/>
              <w:ind w:left="88"/>
            </w:pPr>
            <w:r>
              <w:rPr>
                <w:sz w:val="18"/>
                <w:szCs w:val="18"/>
              </w:rPr>
              <w:t>FORMATION</w:t>
            </w:r>
          </w:p>
        </w:tc>
        <w:tc>
          <w:tcPr>
            <w:tcW w:w="1134" w:type="dxa"/>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rPr>
                <w:sz w:val="18"/>
                <w:szCs w:val="18"/>
              </w:rPr>
            </w:pPr>
          </w:p>
          <w:p w:rsidR="00DF26C1" w:rsidRDefault="00DF26C1" w:rsidP="007B6DBD">
            <w:pPr>
              <w:pStyle w:val="TableParagraph"/>
              <w:kinsoku w:val="0"/>
              <w:overflowPunct w:val="0"/>
              <w:spacing w:before="8"/>
              <w:rPr>
                <w:sz w:val="17"/>
                <w:szCs w:val="17"/>
              </w:rPr>
            </w:pPr>
          </w:p>
          <w:p w:rsidR="00DF26C1" w:rsidRDefault="00DF26C1" w:rsidP="007B6DBD">
            <w:pPr>
              <w:pStyle w:val="TableParagraph"/>
              <w:kinsoku w:val="0"/>
              <w:overflowPunct w:val="0"/>
              <w:ind w:right="3"/>
              <w:jc w:val="center"/>
            </w:pPr>
            <w:r>
              <w:rPr>
                <w:sz w:val="18"/>
                <w:szCs w:val="18"/>
              </w:rPr>
              <w:t>AGE</w:t>
            </w:r>
          </w:p>
        </w:tc>
        <w:tc>
          <w:tcPr>
            <w:tcW w:w="1559" w:type="dxa"/>
            <w:gridSpan w:val="3"/>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spacing w:line="480" w:lineRule="auto"/>
              <w:ind w:left="93" w:right="94"/>
              <w:jc w:val="center"/>
            </w:pPr>
            <w:r>
              <w:rPr>
                <w:sz w:val="18"/>
                <w:szCs w:val="18"/>
              </w:rPr>
              <w:t>VOLCANOCLA STIC</w:t>
            </w:r>
            <w:r>
              <w:rPr>
                <w:spacing w:val="-1"/>
                <w:sz w:val="18"/>
                <w:szCs w:val="18"/>
              </w:rPr>
              <w:t xml:space="preserve"> </w:t>
            </w:r>
            <w:r>
              <w:rPr>
                <w:sz w:val="18"/>
                <w:szCs w:val="18"/>
              </w:rPr>
              <w:t>ROCK TYPE</w:t>
            </w:r>
          </w:p>
        </w:tc>
        <w:tc>
          <w:tcPr>
            <w:tcW w:w="2214" w:type="dxa"/>
            <w:tcBorders>
              <w:top w:val="single" w:sz="4" w:space="0" w:color="000000"/>
              <w:left w:val="single" w:sz="4" w:space="0" w:color="000000"/>
              <w:bottom w:val="single" w:sz="4" w:space="0" w:color="000000"/>
              <w:right w:val="single" w:sz="4" w:space="0" w:color="000000"/>
            </w:tcBorders>
          </w:tcPr>
          <w:p w:rsidR="00DF26C1" w:rsidRPr="009E1094" w:rsidRDefault="00DF26C1" w:rsidP="007B6DBD">
            <w:pPr>
              <w:pStyle w:val="TableParagraph"/>
              <w:kinsoku w:val="0"/>
              <w:overflowPunct w:val="0"/>
              <w:spacing w:line="477" w:lineRule="auto"/>
              <w:ind w:left="326" w:right="330"/>
              <w:jc w:val="center"/>
              <w:rPr>
                <w:sz w:val="18"/>
                <w:szCs w:val="18"/>
                <w:lang w:val="en-GB"/>
              </w:rPr>
            </w:pPr>
            <w:r w:rsidRPr="009E1094">
              <w:rPr>
                <w:sz w:val="18"/>
                <w:szCs w:val="18"/>
                <w:lang w:val="en-GB"/>
              </w:rPr>
              <w:t>VOLCANIC</w:t>
            </w:r>
            <w:r w:rsidRPr="009E1094">
              <w:rPr>
                <w:spacing w:val="-6"/>
                <w:sz w:val="18"/>
                <w:szCs w:val="18"/>
                <w:lang w:val="en-GB"/>
              </w:rPr>
              <w:t xml:space="preserve"> </w:t>
            </w:r>
            <w:r w:rsidRPr="009E1094">
              <w:rPr>
                <w:sz w:val="18"/>
                <w:szCs w:val="18"/>
                <w:lang w:val="en-GB"/>
              </w:rPr>
              <w:t>LAYERS (type, SIV, VTT,</w:t>
            </w:r>
            <w:r w:rsidRPr="009E1094">
              <w:rPr>
                <w:spacing w:val="-9"/>
                <w:sz w:val="18"/>
                <w:szCs w:val="18"/>
                <w:lang w:val="en-GB"/>
              </w:rPr>
              <w:t xml:space="preserve"> </w:t>
            </w:r>
            <w:r w:rsidRPr="009E1094">
              <w:rPr>
                <w:sz w:val="18"/>
                <w:szCs w:val="18"/>
                <w:lang w:val="en-GB"/>
              </w:rPr>
              <w:t>TVB</w:t>
            </w:r>
          </w:p>
          <w:p w:rsidR="00DF26C1" w:rsidRDefault="00DF26C1" w:rsidP="007B6DBD">
            <w:pPr>
              <w:pStyle w:val="TableParagraph"/>
              <w:kinsoku w:val="0"/>
              <w:overflowPunct w:val="0"/>
              <w:spacing w:before="11"/>
              <w:ind w:right="3"/>
              <w:jc w:val="center"/>
            </w:pPr>
            <w:r>
              <w:rPr>
                <w:sz w:val="18"/>
                <w:szCs w:val="18"/>
              </w:rPr>
              <w:t>(meters)</w:t>
            </w:r>
          </w:p>
        </w:tc>
        <w:tc>
          <w:tcPr>
            <w:tcW w:w="1653" w:type="dxa"/>
            <w:gridSpan w:val="3"/>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spacing w:before="8"/>
              <w:rPr>
                <w:sz w:val="17"/>
                <w:szCs w:val="17"/>
              </w:rPr>
            </w:pPr>
          </w:p>
          <w:p w:rsidR="00DF26C1" w:rsidRDefault="00DF26C1" w:rsidP="007B6DBD">
            <w:pPr>
              <w:pStyle w:val="TableParagraph"/>
              <w:kinsoku w:val="0"/>
              <w:overflowPunct w:val="0"/>
              <w:spacing w:line="477" w:lineRule="auto"/>
              <w:ind w:left="309" w:right="159" w:hanging="149"/>
            </w:pPr>
            <w:r>
              <w:rPr>
                <w:sz w:val="18"/>
                <w:szCs w:val="18"/>
              </w:rPr>
              <w:t>SEDIMENTARY PROCESSES</w:t>
            </w:r>
          </w:p>
        </w:tc>
        <w:tc>
          <w:tcPr>
            <w:tcW w:w="1102" w:type="dxa"/>
            <w:gridSpan w:val="3"/>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spacing w:line="480" w:lineRule="auto"/>
              <w:ind w:left="69" w:right="70"/>
              <w:jc w:val="center"/>
            </w:pPr>
            <w:r>
              <w:rPr>
                <w:sz w:val="18"/>
                <w:szCs w:val="18"/>
              </w:rPr>
              <w:t>VOLCANIC SOURCE HYPOTH.</w:t>
            </w:r>
          </w:p>
        </w:tc>
        <w:tc>
          <w:tcPr>
            <w:tcW w:w="843" w:type="dxa"/>
            <w:gridSpan w:val="3"/>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spacing w:line="477" w:lineRule="auto"/>
              <w:ind w:left="74" w:right="72" w:firstLine="40"/>
              <w:rPr>
                <w:sz w:val="18"/>
                <w:szCs w:val="18"/>
              </w:rPr>
            </w:pPr>
            <w:r>
              <w:rPr>
                <w:sz w:val="18"/>
                <w:szCs w:val="18"/>
              </w:rPr>
              <w:t>MAIN REFER</w:t>
            </w:r>
          </w:p>
          <w:p w:rsidR="00DF26C1" w:rsidRDefault="00DF26C1" w:rsidP="007B6DBD">
            <w:pPr>
              <w:pStyle w:val="TableParagraph"/>
              <w:kinsoku w:val="0"/>
              <w:overflowPunct w:val="0"/>
              <w:spacing w:before="11"/>
              <w:ind w:left="88"/>
            </w:pPr>
            <w:r>
              <w:rPr>
                <w:sz w:val="18"/>
                <w:szCs w:val="18"/>
              </w:rPr>
              <w:t>-ENCE</w:t>
            </w:r>
          </w:p>
        </w:tc>
      </w:tr>
      <w:tr w:rsidR="00DF26C1" w:rsidTr="0072057D">
        <w:trPr>
          <w:trHeight w:hRule="exact" w:val="1253"/>
        </w:trPr>
        <w:tc>
          <w:tcPr>
            <w:tcW w:w="1418" w:type="dxa"/>
            <w:gridSpan w:val="2"/>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spacing w:before="6"/>
              <w:rPr>
                <w:sz w:val="17"/>
                <w:szCs w:val="17"/>
              </w:rPr>
            </w:pPr>
          </w:p>
          <w:p w:rsidR="00DF26C1" w:rsidRDefault="00DF26C1" w:rsidP="007B6DBD">
            <w:pPr>
              <w:pStyle w:val="TableParagraph"/>
              <w:kinsoku w:val="0"/>
              <w:overflowPunct w:val="0"/>
              <w:spacing w:line="482" w:lineRule="auto"/>
              <w:ind w:left="112" w:right="108" w:firstLine="266"/>
            </w:pPr>
            <w:r>
              <w:rPr>
                <w:sz w:val="18"/>
                <w:szCs w:val="18"/>
              </w:rPr>
              <w:t>Betic Cordillera/</w:t>
            </w:r>
            <w:r>
              <w:rPr>
                <w:spacing w:val="-3"/>
                <w:sz w:val="18"/>
                <w:szCs w:val="18"/>
              </w:rPr>
              <w:t xml:space="preserve"> </w:t>
            </w:r>
            <w:r>
              <w:rPr>
                <w:sz w:val="18"/>
                <w:szCs w:val="18"/>
              </w:rPr>
              <w:t>1</w:t>
            </w:r>
          </w:p>
        </w:tc>
        <w:tc>
          <w:tcPr>
            <w:tcW w:w="1276" w:type="dxa"/>
            <w:gridSpan w:val="2"/>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spacing w:before="6"/>
              <w:rPr>
                <w:sz w:val="17"/>
                <w:szCs w:val="17"/>
              </w:rPr>
            </w:pPr>
          </w:p>
          <w:p w:rsidR="00DF26C1" w:rsidRDefault="00DF26C1" w:rsidP="007B6DBD">
            <w:pPr>
              <w:pStyle w:val="TableParagraph"/>
              <w:kinsoku w:val="0"/>
              <w:overflowPunct w:val="0"/>
              <w:spacing w:line="482" w:lineRule="auto"/>
              <w:ind w:left="393" w:right="336" w:hanging="53"/>
            </w:pPr>
            <w:r>
              <w:rPr>
                <w:sz w:val="18"/>
                <w:szCs w:val="18"/>
              </w:rPr>
              <w:t>Viñuela Group</w:t>
            </w:r>
          </w:p>
        </w:tc>
        <w:tc>
          <w:tcPr>
            <w:tcW w:w="1134" w:type="dxa"/>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spacing w:before="6"/>
              <w:rPr>
                <w:sz w:val="17"/>
                <w:szCs w:val="17"/>
              </w:rPr>
            </w:pPr>
          </w:p>
          <w:p w:rsidR="00DF26C1" w:rsidRDefault="00DF26C1" w:rsidP="007B6DBD">
            <w:pPr>
              <w:pStyle w:val="TableParagraph"/>
              <w:kinsoku w:val="0"/>
              <w:overflowPunct w:val="0"/>
              <w:spacing w:line="482" w:lineRule="auto"/>
              <w:ind w:left="199" w:right="199" w:firstLine="244"/>
            </w:pPr>
            <w:r>
              <w:rPr>
                <w:sz w:val="18"/>
                <w:szCs w:val="18"/>
              </w:rPr>
              <w:t>early Burdigalian</w:t>
            </w:r>
          </w:p>
        </w:tc>
        <w:tc>
          <w:tcPr>
            <w:tcW w:w="1559" w:type="dxa"/>
            <w:gridSpan w:val="3"/>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spacing w:line="480" w:lineRule="auto"/>
              <w:ind w:left="335" w:right="62" w:hanging="272"/>
            </w:pPr>
            <w:r>
              <w:rPr>
                <w:sz w:val="18"/>
                <w:szCs w:val="18"/>
              </w:rPr>
              <w:t>andesite,</w:t>
            </w:r>
            <w:r>
              <w:rPr>
                <w:spacing w:val="-2"/>
                <w:sz w:val="18"/>
                <w:szCs w:val="18"/>
              </w:rPr>
              <w:t xml:space="preserve"> </w:t>
            </w:r>
            <w:r>
              <w:rPr>
                <w:sz w:val="18"/>
                <w:szCs w:val="18"/>
              </w:rPr>
              <w:t>rhyolite- rhyodacite fragments</w:t>
            </w:r>
          </w:p>
        </w:tc>
        <w:tc>
          <w:tcPr>
            <w:tcW w:w="2214" w:type="dxa"/>
            <w:tcBorders>
              <w:top w:val="single" w:sz="4" w:space="0" w:color="000000"/>
              <w:left w:val="single" w:sz="4" w:space="0" w:color="000000"/>
              <w:bottom w:val="single" w:sz="4" w:space="0" w:color="000000"/>
              <w:right w:val="single" w:sz="4" w:space="0" w:color="000000"/>
            </w:tcBorders>
          </w:tcPr>
          <w:p w:rsidR="00DF26C1" w:rsidRPr="009E1094" w:rsidRDefault="00DF26C1" w:rsidP="007B6DBD">
            <w:pPr>
              <w:pStyle w:val="TableParagraph"/>
              <w:kinsoku w:val="0"/>
              <w:overflowPunct w:val="0"/>
              <w:spacing w:line="482" w:lineRule="auto"/>
              <w:ind w:left="261" w:right="262"/>
              <w:jc w:val="center"/>
              <w:rPr>
                <w:sz w:val="18"/>
                <w:szCs w:val="18"/>
                <w:lang w:val="en-GB"/>
              </w:rPr>
            </w:pPr>
            <w:r w:rsidRPr="009E1094">
              <w:rPr>
                <w:sz w:val="18"/>
                <w:szCs w:val="18"/>
                <w:lang w:val="en-GB"/>
              </w:rPr>
              <w:t>mineral grains and</w:t>
            </w:r>
            <w:r w:rsidRPr="009E1094">
              <w:rPr>
                <w:spacing w:val="-6"/>
                <w:sz w:val="18"/>
                <w:szCs w:val="18"/>
                <w:lang w:val="en-GB"/>
              </w:rPr>
              <w:t xml:space="preserve"> </w:t>
            </w:r>
            <w:r w:rsidRPr="009E1094">
              <w:rPr>
                <w:sz w:val="18"/>
                <w:szCs w:val="18"/>
                <w:lang w:val="en-GB"/>
              </w:rPr>
              <w:t>glass- shards; SIV: 45; VTT:</w:t>
            </w:r>
            <w:r w:rsidRPr="009E1094">
              <w:rPr>
                <w:spacing w:val="-7"/>
                <w:sz w:val="18"/>
                <w:szCs w:val="18"/>
                <w:lang w:val="en-GB"/>
              </w:rPr>
              <w:t xml:space="preserve"> </w:t>
            </w:r>
            <w:r w:rsidRPr="009E1094">
              <w:rPr>
                <w:sz w:val="18"/>
                <w:szCs w:val="18"/>
                <w:lang w:val="en-GB"/>
              </w:rPr>
              <w:t>3;</w:t>
            </w:r>
          </w:p>
          <w:p w:rsidR="00DF26C1" w:rsidRDefault="00DF26C1" w:rsidP="007B6DBD">
            <w:pPr>
              <w:pStyle w:val="TableParagraph"/>
              <w:kinsoku w:val="0"/>
              <w:overflowPunct w:val="0"/>
              <w:spacing w:before="4"/>
              <w:jc w:val="center"/>
            </w:pPr>
            <w:r>
              <w:rPr>
                <w:sz w:val="18"/>
                <w:szCs w:val="18"/>
              </w:rPr>
              <w:t>TVB:</w:t>
            </w:r>
            <w:r>
              <w:rPr>
                <w:spacing w:val="-2"/>
                <w:sz w:val="18"/>
                <w:szCs w:val="18"/>
              </w:rPr>
              <w:t xml:space="preserve"> </w:t>
            </w:r>
            <w:r>
              <w:rPr>
                <w:sz w:val="18"/>
                <w:szCs w:val="18"/>
              </w:rPr>
              <w:t>0.5</w:t>
            </w:r>
          </w:p>
        </w:tc>
        <w:tc>
          <w:tcPr>
            <w:tcW w:w="1653" w:type="dxa"/>
            <w:gridSpan w:val="3"/>
            <w:tcBorders>
              <w:top w:val="single" w:sz="4" w:space="0" w:color="000000"/>
              <w:left w:val="single" w:sz="4" w:space="0" w:color="000000"/>
              <w:bottom w:val="single" w:sz="4" w:space="0" w:color="000000"/>
              <w:right w:val="single" w:sz="4" w:space="0" w:color="000000"/>
            </w:tcBorders>
          </w:tcPr>
          <w:p w:rsidR="00DF26C1" w:rsidRPr="009E1094" w:rsidRDefault="00DF26C1" w:rsidP="007B6DBD">
            <w:pPr>
              <w:pStyle w:val="TableParagraph"/>
              <w:kinsoku w:val="0"/>
              <w:overflowPunct w:val="0"/>
              <w:spacing w:line="480" w:lineRule="auto"/>
              <w:ind w:left="69" w:right="64" w:hanging="5"/>
              <w:jc w:val="center"/>
              <w:rPr>
                <w:lang w:val="en-GB"/>
              </w:rPr>
            </w:pPr>
            <w:r w:rsidRPr="009E1094">
              <w:rPr>
                <w:sz w:val="18"/>
                <w:szCs w:val="18"/>
                <w:lang w:val="en-GB"/>
              </w:rPr>
              <w:t>pyroclastic</w:t>
            </w:r>
            <w:r w:rsidRPr="009E1094">
              <w:rPr>
                <w:spacing w:val="-1"/>
                <w:sz w:val="18"/>
                <w:szCs w:val="18"/>
                <w:lang w:val="en-GB"/>
              </w:rPr>
              <w:t xml:space="preserve"> </w:t>
            </w:r>
            <w:r w:rsidRPr="009E1094">
              <w:rPr>
                <w:sz w:val="18"/>
                <w:szCs w:val="18"/>
                <w:lang w:val="en-GB"/>
              </w:rPr>
              <w:t>fallout; epiclastic</w:t>
            </w:r>
            <w:r w:rsidRPr="009E1094">
              <w:rPr>
                <w:spacing w:val="-4"/>
                <w:sz w:val="18"/>
                <w:szCs w:val="18"/>
                <w:lang w:val="en-GB"/>
              </w:rPr>
              <w:t xml:space="preserve"> </w:t>
            </w:r>
            <w:r w:rsidRPr="009E1094">
              <w:rPr>
                <w:sz w:val="18"/>
                <w:szCs w:val="18"/>
                <w:lang w:val="en-GB"/>
              </w:rPr>
              <w:t>mass-flow (turbiditic)</w:t>
            </w:r>
          </w:p>
        </w:tc>
        <w:tc>
          <w:tcPr>
            <w:tcW w:w="1102" w:type="dxa"/>
            <w:gridSpan w:val="3"/>
            <w:tcBorders>
              <w:top w:val="single" w:sz="4" w:space="0" w:color="000000"/>
              <w:left w:val="single" w:sz="4" w:space="0" w:color="000000"/>
              <w:bottom w:val="single" w:sz="4" w:space="0" w:color="000000"/>
              <w:right w:val="single" w:sz="4" w:space="0" w:color="000000"/>
            </w:tcBorders>
          </w:tcPr>
          <w:p w:rsidR="00DF26C1" w:rsidRPr="009E1094" w:rsidRDefault="00DF26C1" w:rsidP="007B6DBD">
            <w:pPr>
              <w:pStyle w:val="TableParagraph"/>
              <w:kinsoku w:val="0"/>
              <w:overflowPunct w:val="0"/>
              <w:rPr>
                <w:sz w:val="18"/>
                <w:szCs w:val="18"/>
                <w:lang w:val="en-GB"/>
              </w:rPr>
            </w:pPr>
          </w:p>
          <w:p w:rsidR="00DF26C1" w:rsidRPr="009E1094" w:rsidRDefault="00DF26C1" w:rsidP="007B6DBD">
            <w:pPr>
              <w:pStyle w:val="TableParagraph"/>
              <w:kinsoku w:val="0"/>
              <w:overflowPunct w:val="0"/>
              <w:rPr>
                <w:sz w:val="18"/>
                <w:szCs w:val="18"/>
                <w:lang w:val="en-GB"/>
              </w:rPr>
            </w:pPr>
          </w:p>
          <w:p w:rsidR="00DF26C1" w:rsidRPr="009E1094" w:rsidRDefault="00DF26C1" w:rsidP="007B6DBD">
            <w:pPr>
              <w:pStyle w:val="TableParagraph"/>
              <w:kinsoku w:val="0"/>
              <w:overflowPunct w:val="0"/>
              <w:spacing w:before="7"/>
              <w:rPr>
                <w:sz w:val="17"/>
                <w:szCs w:val="17"/>
                <w:lang w:val="en-GB"/>
              </w:rPr>
            </w:pPr>
          </w:p>
          <w:p w:rsidR="00DF26C1" w:rsidRDefault="00DF26C1" w:rsidP="007B6DBD">
            <w:pPr>
              <w:pStyle w:val="TableParagraph"/>
              <w:kinsoku w:val="0"/>
              <w:overflowPunct w:val="0"/>
              <w:jc w:val="center"/>
            </w:pPr>
            <w:r>
              <w:rPr>
                <w:sz w:val="18"/>
                <w:szCs w:val="18"/>
              </w:rPr>
              <w:t>----</w:t>
            </w:r>
          </w:p>
        </w:tc>
        <w:tc>
          <w:tcPr>
            <w:tcW w:w="843" w:type="dxa"/>
            <w:gridSpan w:val="3"/>
            <w:tcBorders>
              <w:top w:val="single" w:sz="4" w:space="0" w:color="000000"/>
              <w:left w:val="single" w:sz="4" w:space="0" w:color="000000"/>
              <w:bottom w:val="single" w:sz="4" w:space="0" w:color="000000"/>
              <w:right w:val="single" w:sz="4" w:space="0" w:color="000000"/>
            </w:tcBorders>
          </w:tcPr>
          <w:p w:rsidR="00DF26C1" w:rsidRDefault="00DF26C1" w:rsidP="007B6DBD">
            <w:pPr>
              <w:pStyle w:val="TableParagraph"/>
              <w:kinsoku w:val="0"/>
              <w:overflowPunct w:val="0"/>
              <w:spacing w:before="6"/>
              <w:rPr>
                <w:sz w:val="17"/>
                <w:szCs w:val="17"/>
              </w:rPr>
            </w:pPr>
          </w:p>
          <w:p w:rsidR="00DF26C1" w:rsidRDefault="00DF26C1" w:rsidP="007B6DBD">
            <w:pPr>
              <w:pStyle w:val="TableParagraph"/>
              <w:kinsoku w:val="0"/>
              <w:overflowPunct w:val="0"/>
              <w:jc w:val="center"/>
              <w:rPr>
                <w:sz w:val="18"/>
                <w:szCs w:val="18"/>
              </w:rPr>
            </w:pPr>
            <w:r>
              <w:rPr>
                <w:sz w:val="18"/>
                <w:szCs w:val="18"/>
              </w:rPr>
              <w:t>[1]</w:t>
            </w:r>
          </w:p>
          <w:p w:rsidR="00DF26C1" w:rsidRDefault="00DF26C1" w:rsidP="007B6DBD">
            <w:pPr>
              <w:pStyle w:val="TableParagraph"/>
              <w:kinsoku w:val="0"/>
              <w:overflowPunct w:val="0"/>
              <w:spacing w:before="1"/>
              <w:rPr>
                <w:sz w:val="18"/>
                <w:szCs w:val="18"/>
              </w:rPr>
            </w:pPr>
          </w:p>
          <w:p w:rsidR="00DF26C1" w:rsidRDefault="00DF26C1" w:rsidP="007B6DBD">
            <w:pPr>
              <w:pStyle w:val="TableParagraph"/>
              <w:kinsoku w:val="0"/>
              <w:overflowPunct w:val="0"/>
              <w:jc w:val="center"/>
            </w:pPr>
            <w:r>
              <w:rPr>
                <w:sz w:val="18"/>
                <w:szCs w:val="18"/>
              </w:rPr>
              <w:t>[2]</w:t>
            </w:r>
          </w:p>
        </w:tc>
      </w:tr>
      <w:tr w:rsidR="000F6F08" w:rsidTr="00525891">
        <w:trPr>
          <w:trHeight w:hRule="exact" w:val="1251"/>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7"/>
              <w:rPr>
                <w:sz w:val="17"/>
                <w:szCs w:val="17"/>
              </w:rPr>
            </w:pPr>
          </w:p>
          <w:p w:rsidR="000F6F08" w:rsidRDefault="000F6F08" w:rsidP="00E706B5">
            <w:pPr>
              <w:pStyle w:val="TableParagraph"/>
              <w:kinsoku w:val="0"/>
              <w:overflowPunct w:val="0"/>
              <w:spacing w:line="482" w:lineRule="auto"/>
              <w:ind w:left="112" w:right="108" w:firstLine="266"/>
            </w:pPr>
            <w:r>
              <w:rPr>
                <w:sz w:val="18"/>
                <w:szCs w:val="18"/>
              </w:rPr>
              <w:t>Betic Cordillera/</w:t>
            </w:r>
            <w:r>
              <w:rPr>
                <w:spacing w:val="-3"/>
                <w:sz w:val="18"/>
                <w:szCs w:val="18"/>
              </w:rPr>
              <w:t xml:space="preserve"> </w:t>
            </w:r>
            <w:r>
              <w:rPr>
                <w:sz w:val="18"/>
                <w:szCs w:val="18"/>
              </w:rPr>
              <w:t>2</w:t>
            </w:r>
          </w:p>
        </w:tc>
        <w:tc>
          <w:tcPr>
            <w:tcW w:w="1260"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7"/>
              <w:rPr>
                <w:sz w:val="17"/>
                <w:szCs w:val="17"/>
              </w:rPr>
            </w:pPr>
          </w:p>
          <w:p w:rsidR="000F6F08" w:rsidRDefault="000F6F08" w:rsidP="00E706B5">
            <w:pPr>
              <w:pStyle w:val="TableParagraph"/>
              <w:kinsoku w:val="0"/>
              <w:overflowPunct w:val="0"/>
              <w:spacing w:line="482" w:lineRule="auto"/>
              <w:ind w:left="383" w:right="280" w:hanging="104"/>
            </w:pPr>
            <w:r>
              <w:rPr>
                <w:sz w:val="18"/>
                <w:szCs w:val="18"/>
              </w:rPr>
              <w:t>Algeciras Flysch</w:t>
            </w:r>
          </w:p>
        </w:tc>
        <w:tc>
          <w:tcPr>
            <w:tcW w:w="126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99" w:right="199" w:firstLine="2"/>
              <w:jc w:val="center"/>
            </w:pPr>
            <w:r>
              <w:rPr>
                <w:sz w:val="18"/>
                <w:szCs w:val="18"/>
              </w:rPr>
              <w:t>Aquitanian Burdigalian p.p.</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7"/>
              <w:rPr>
                <w:sz w:val="17"/>
                <w:szCs w:val="17"/>
              </w:rPr>
            </w:pPr>
          </w:p>
          <w:p w:rsidR="000F6F08" w:rsidRDefault="000F6F08" w:rsidP="00E706B5">
            <w:pPr>
              <w:pStyle w:val="TableParagraph"/>
              <w:kinsoku w:val="0"/>
              <w:overflowPunct w:val="0"/>
              <w:spacing w:line="482" w:lineRule="auto"/>
              <w:ind w:left="355" w:right="94" w:hanging="262"/>
            </w:pPr>
            <w:r>
              <w:rPr>
                <w:sz w:val="18"/>
                <w:szCs w:val="18"/>
              </w:rPr>
              <w:t>andesite,</w:t>
            </w:r>
            <w:r>
              <w:rPr>
                <w:spacing w:val="-2"/>
                <w:sz w:val="18"/>
                <w:szCs w:val="18"/>
              </w:rPr>
              <w:t xml:space="preserve"> </w:t>
            </w:r>
            <w:r>
              <w:rPr>
                <w:sz w:val="18"/>
                <w:szCs w:val="18"/>
              </w:rPr>
              <w:t>rhyolite fragments</w:t>
            </w:r>
          </w:p>
        </w:tc>
        <w:tc>
          <w:tcPr>
            <w:tcW w:w="234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7"/>
              <w:rPr>
                <w:sz w:val="17"/>
                <w:szCs w:val="17"/>
                <w:lang w:val="en-GB"/>
              </w:rPr>
            </w:pPr>
          </w:p>
          <w:p w:rsidR="000F6F08" w:rsidRPr="009E1094" w:rsidRDefault="000F6F08" w:rsidP="00E706B5">
            <w:pPr>
              <w:pStyle w:val="TableParagraph"/>
              <w:kinsoku w:val="0"/>
              <w:overflowPunct w:val="0"/>
              <w:spacing w:line="482" w:lineRule="auto"/>
              <w:ind w:left="619" w:right="76" w:hanging="543"/>
              <w:rPr>
                <w:lang w:val="en-GB"/>
              </w:rPr>
            </w:pPr>
            <w:r w:rsidRPr="009E1094">
              <w:rPr>
                <w:sz w:val="18"/>
                <w:szCs w:val="18"/>
                <w:lang w:val="en-GB"/>
              </w:rPr>
              <w:t>felsitic lava and mineral</w:t>
            </w:r>
            <w:r w:rsidRPr="009E1094">
              <w:rPr>
                <w:spacing w:val="-10"/>
                <w:sz w:val="18"/>
                <w:szCs w:val="18"/>
                <w:lang w:val="en-GB"/>
              </w:rPr>
              <w:t xml:space="preserve"> </w:t>
            </w:r>
            <w:r w:rsidRPr="009E1094">
              <w:rPr>
                <w:sz w:val="18"/>
                <w:szCs w:val="18"/>
                <w:lang w:val="en-GB"/>
              </w:rPr>
              <w:t>clasts (up to 7%</w:t>
            </w:r>
            <w:r w:rsidRPr="009E1094">
              <w:rPr>
                <w:spacing w:val="-2"/>
                <w:sz w:val="18"/>
                <w:szCs w:val="18"/>
                <w:lang w:val="en-GB"/>
              </w:rPr>
              <w:t xml:space="preserve"> </w:t>
            </w:r>
            <w:r w:rsidRPr="009E1094">
              <w:rPr>
                <w:sz w:val="18"/>
                <w:szCs w:val="18"/>
                <w:lang w:val="en-GB"/>
              </w:rPr>
              <w:t>vol.)</w:t>
            </w:r>
          </w:p>
        </w:tc>
        <w:tc>
          <w:tcPr>
            <w:tcW w:w="1620"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7"/>
              <w:rPr>
                <w:sz w:val="17"/>
                <w:szCs w:val="17"/>
                <w:lang w:val="en-GB"/>
              </w:rPr>
            </w:pPr>
          </w:p>
          <w:p w:rsidR="000F6F08" w:rsidRDefault="000F6F08" w:rsidP="00E706B5">
            <w:pPr>
              <w:pStyle w:val="TableParagraph"/>
              <w:kinsoku w:val="0"/>
              <w:overflowPunct w:val="0"/>
              <w:spacing w:line="482" w:lineRule="auto"/>
              <w:ind w:left="227" w:right="223" w:firstLine="4"/>
            </w:pPr>
            <w:r>
              <w:rPr>
                <w:sz w:val="18"/>
                <w:szCs w:val="18"/>
              </w:rPr>
              <w:t>epiclastic</w:t>
            </w:r>
            <w:r>
              <w:rPr>
                <w:spacing w:val="-3"/>
                <w:sz w:val="18"/>
                <w:szCs w:val="18"/>
              </w:rPr>
              <w:t xml:space="preserve"> </w:t>
            </w:r>
            <w:r>
              <w:rPr>
                <w:sz w:val="18"/>
                <w:szCs w:val="18"/>
              </w:rPr>
              <w:t>mass- flow</w:t>
            </w:r>
            <w:r>
              <w:rPr>
                <w:spacing w:val="-1"/>
                <w:sz w:val="18"/>
                <w:szCs w:val="18"/>
              </w:rPr>
              <w:t xml:space="preserve"> </w:t>
            </w:r>
            <w:r>
              <w:rPr>
                <w:sz w:val="18"/>
                <w:szCs w:val="18"/>
              </w:rPr>
              <w:t>(turbiditic)</w:t>
            </w:r>
          </w:p>
        </w:tc>
        <w:tc>
          <w:tcPr>
            <w:tcW w:w="108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jc w:val="center"/>
            </w:pPr>
            <w:r>
              <w:rPr>
                <w:sz w:val="18"/>
                <w:szCs w:val="18"/>
              </w:rPr>
              <w:t>----</w:t>
            </w:r>
          </w:p>
        </w:tc>
        <w:tc>
          <w:tcPr>
            <w:tcW w:w="826" w:type="dxa"/>
            <w:gridSpan w:val="2"/>
            <w:vMerge w:val="restart"/>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11"/>
              <w:rPr>
                <w:sz w:val="17"/>
                <w:szCs w:val="17"/>
              </w:rPr>
            </w:pPr>
          </w:p>
          <w:p w:rsidR="000F6F08" w:rsidRDefault="000F6F08" w:rsidP="00E706B5">
            <w:pPr>
              <w:pStyle w:val="TableParagraph"/>
              <w:kinsoku w:val="0"/>
              <w:overflowPunct w:val="0"/>
              <w:jc w:val="center"/>
            </w:pPr>
            <w:r>
              <w:rPr>
                <w:sz w:val="18"/>
                <w:szCs w:val="18"/>
              </w:rPr>
              <w:t>[1]</w:t>
            </w:r>
          </w:p>
        </w:tc>
      </w:tr>
      <w:tr w:rsidR="000F6F08" w:rsidTr="00525891">
        <w:trPr>
          <w:trHeight w:hRule="exact" w:val="1666"/>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77" w:lineRule="auto"/>
              <w:ind w:left="112" w:right="108" w:firstLine="266"/>
            </w:pPr>
            <w:r>
              <w:rPr>
                <w:sz w:val="18"/>
                <w:szCs w:val="18"/>
              </w:rPr>
              <w:t>Betic Cordillera/</w:t>
            </w:r>
            <w:r>
              <w:rPr>
                <w:spacing w:val="-3"/>
                <w:sz w:val="18"/>
                <w:szCs w:val="18"/>
              </w:rPr>
              <w:t xml:space="preserve"> </w:t>
            </w:r>
            <w:r>
              <w:rPr>
                <w:sz w:val="18"/>
                <w:szCs w:val="18"/>
              </w:rPr>
              <w:t>3</w:t>
            </w:r>
          </w:p>
        </w:tc>
        <w:tc>
          <w:tcPr>
            <w:tcW w:w="1260"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83" w:right="85" w:hanging="2"/>
              <w:jc w:val="center"/>
              <w:rPr>
                <w:lang w:val="en-GB"/>
              </w:rPr>
            </w:pPr>
            <w:r w:rsidRPr="009E1094">
              <w:rPr>
                <w:sz w:val="18"/>
                <w:szCs w:val="18"/>
                <w:lang w:val="en-GB"/>
              </w:rPr>
              <w:t>Almidar,</w:t>
            </w:r>
            <w:r w:rsidRPr="009E1094">
              <w:rPr>
                <w:spacing w:val="-2"/>
                <w:sz w:val="18"/>
                <w:szCs w:val="18"/>
                <w:lang w:val="en-GB"/>
              </w:rPr>
              <w:t xml:space="preserve"> </w:t>
            </w:r>
            <w:r w:rsidRPr="009E1094">
              <w:rPr>
                <w:sz w:val="18"/>
                <w:szCs w:val="18"/>
                <w:lang w:val="en-GB"/>
              </w:rPr>
              <w:t>Río Fardes-Mencal Succ.b (Subbetic)</w:t>
            </w:r>
          </w:p>
        </w:tc>
        <w:tc>
          <w:tcPr>
            <w:tcW w:w="1260" w:type="dxa"/>
            <w:gridSpan w:val="3"/>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spacing w:line="477" w:lineRule="auto"/>
              <w:ind w:left="199" w:right="199" w:firstLine="244"/>
            </w:pPr>
            <w:r>
              <w:rPr>
                <w:sz w:val="18"/>
                <w:szCs w:val="18"/>
              </w:rPr>
              <w:t>early Burdigalian</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77" w:lineRule="auto"/>
              <w:ind w:left="355" w:right="336" w:hanging="22"/>
            </w:pPr>
            <w:r>
              <w:rPr>
                <w:sz w:val="18"/>
                <w:szCs w:val="18"/>
              </w:rPr>
              <w:t>rhyodacite fragments</w:t>
            </w:r>
          </w:p>
        </w:tc>
        <w:tc>
          <w:tcPr>
            <w:tcW w:w="234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Pr="009E1094" w:rsidRDefault="000F6F08" w:rsidP="00E706B5">
            <w:pPr>
              <w:pStyle w:val="TableParagraph"/>
              <w:kinsoku w:val="0"/>
              <w:overflowPunct w:val="0"/>
              <w:spacing w:line="477" w:lineRule="auto"/>
              <w:ind w:left="213" w:right="214" w:firstLine="357"/>
              <w:rPr>
                <w:lang w:val="en-GB"/>
              </w:rPr>
            </w:pPr>
            <w:r w:rsidRPr="009E1094">
              <w:rPr>
                <w:sz w:val="18"/>
                <w:szCs w:val="18"/>
                <w:lang w:val="en-GB"/>
              </w:rPr>
              <w:t>glass-shards</w:t>
            </w:r>
            <w:r w:rsidRPr="009E1094">
              <w:rPr>
                <w:spacing w:val="-1"/>
                <w:sz w:val="18"/>
                <w:szCs w:val="18"/>
                <w:lang w:val="en-GB"/>
              </w:rPr>
              <w:t xml:space="preserve"> </w:t>
            </w:r>
            <w:r w:rsidRPr="009E1094">
              <w:rPr>
                <w:sz w:val="18"/>
                <w:szCs w:val="18"/>
                <w:lang w:val="en-GB"/>
              </w:rPr>
              <w:t>and mineral grains; TVB:</w:t>
            </w:r>
            <w:r w:rsidRPr="009E1094">
              <w:rPr>
                <w:spacing w:val="-6"/>
                <w:sz w:val="18"/>
                <w:szCs w:val="18"/>
                <w:lang w:val="en-GB"/>
              </w:rPr>
              <w:t xml:space="preserve"> </w:t>
            </w:r>
            <w:r w:rsidRPr="009E1094">
              <w:rPr>
                <w:sz w:val="18"/>
                <w:szCs w:val="18"/>
                <w:lang w:val="en-GB"/>
              </w:rPr>
              <w:t>0.25</w:t>
            </w:r>
          </w:p>
        </w:tc>
        <w:tc>
          <w:tcPr>
            <w:tcW w:w="1620"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spacing w:line="477" w:lineRule="auto"/>
              <w:ind w:left="227" w:right="216" w:hanging="10"/>
            </w:pPr>
            <w:r>
              <w:rPr>
                <w:sz w:val="18"/>
                <w:szCs w:val="18"/>
              </w:rPr>
              <w:t>Epiclastic</w:t>
            </w:r>
            <w:r>
              <w:rPr>
                <w:spacing w:val="-3"/>
                <w:sz w:val="18"/>
                <w:szCs w:val="18"/>
              </w:rPr>
              <w:t xml:space="preserve"> </w:t>
            </w:r>
            <w:r>
              <w:rPr>
                <w:sz w:val="18"/>
                <w:szCs w:val="18"/>
              </w:rPr>
              <w:t>mass- flow</w:t>
            </w:r>
            <w:r>
              <w:rPr>
                <w:spacing w:val="-2"/>
                <w:sz w:val="18"/>
                <w:szCs w:val="18"/>
              </w:rPr>
              <w:t xml:space="preserve"> </w:t>
            </w:r>
            <w:r>
              <w:rPr>
                <w:sz w:val="18"/>
                <w:szCs w:val="18"/>
              </w:rPr>
              <w:t>(turbiditic)</w:t>
            </w:r>
          </w:p>
        </w:tc>
        <w:tc>
          <w:tcPr>
            <w:tcW w:w="108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80" w:lineRule="auto"/>
              <w:ind w:left="144" w:right="144"/>
              <w:jc w:val="center"/>
            </w:pPr>
            <w:r>
              <w:rPr>
                <w:sz w:val="18"/>
                <w:szCs w:val="18"/>
              </w:rPr>
              <w:t>Submarine volcanic emissions</w:t>
            </w:r>
          </w:p>
        </w:tc>
        <w:tc>
          <w:tcPr>
            <w:tcW w:w="826" w:type="dxa"/>
            <w:gridSpan w:val="2"/>
            <w:vMerge/>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44" w:right="144"/>
              <w:jc w:val="center"/>
            </w:pPr>
          </w:p>
        </w:tc>
      </w:tr>
      <w:tr w:rsidR="000F6F08" w:rsidTr="00525891">
        <w:trPr>
          <w:trHeight w:hRule="exact" w:val="840"/>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338"/>
            </w:pPr>
            <w:r>
              <w:rPr>
                <w:sz w:val="18"/>
                <w:szCs w:val="18"/>
              </w:rPr>
              <w:t>Rif /</w:t>
            </w:r>
            <w:r>
              <w:rPr>
                <w:spacing w:val="-2"/>
                <w:sz w:val="18"/>
                <w:szCs w:val="18"/>
              </w:rPr>
              <w:t xml:space="preserve"> </w:t>
            </w:r>
            <w:r>
              <w:rPr>
                <w:sz w:val="18"/>
                <w:szCs w:val="18"/>
              </w:rPr>
              <w:t>4</w:t>
            </w:r>
          </w:p>
        </w:tc>
        <w:tc>
          <w:tcPr>
            <w:tcW w:w="1260"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5" w:lineRule="exact"/>
              <w:ind w:left="93"/>
              <w:rPr>
                <w:sz w:val="18"/>
                <w:szCs w:val="18"/>
              </w:rPr>
            </w:pPr>
            <w:r>
              <w:rPr>
                <w:sz w:val="18"/>
                <w:szCs w:val="18"/>
              </w:rPr>
              <w:t>Sidi</w:t>
            </w:r>
            <w:r>
              <w:rPr>
                <w:spacing w:val="-2"/>
                <w:sz w:val="18"/>
                <w:szCs w:val="18"/>
              </w:rPr>
              <w:t xml:space="preserve"> </w:t>
            </w:r>
            <w:r>
              <w:rPr>
                <w:sz w:val="18"/>
                <w:szCs w:val="18"/>
              </w:rPr>
              <w:t>Abdeslam</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left="76"/>
            </w:pPr>
            <w:r>
              <w:rPr>
                <w:sz w:val="18"/>
                <w:szCs w:val="18"/>
              </w:rPr>
              <w:t>–Boujarrah</w:t>
            </w:r>
            <w:r>
              <w:rPr>
                <w:spacing w:val="-1"/>
                <w:sz w:val="18"/>
                <w:szCs w:val="18"/>
              </w:rPr>
              <w:t xml:space="preserve"> </w:t>
            </w:r>
            <w:r>
              <w:rPr>
                <w:sz w:val="18"/>
                <w:szCs w:val="18"/>
              </w:rPr>
              <w:t>Fm</w:t>
            </w:r>
          </w:p>
        </w:tc>
        <w:tc>
          <w:tcPr>
            <w:tcW w:w="126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77" w:lineRule="auto"/>
              <w:ind w:left="199" w:right="199" w:firstLine="230"/>
            </w:pPr>
            <w:r>
              <w:rPr>
                <w:sz w:val="18"/>
                <w:szCs w:val="18"/>
              </w:rPr>
              <w:t>Early Burdigalian</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165"/>
            </w:pPr>
            <w:r>
              <w:rPr>
                <w:sz w:val="18"/>
                <w:szCs w:val="18"/>
              </w:rPr>
              <w:t>andesite,</w:t>
            </w:r>
            <w:r>
              <w:rPr>
                <w:spacing w:val="-2"/>
                <w:sz w:val="18"/>
                <w:szCs w:val="18"/>
              </w:rPr>
              <w:t xml:space="preserve"> </w:t>
            </w:r>
            <w:r>
              <w:rPr>
                <w:sz w:val="18"/>
                <w:szCs w:val="18"/>
              </w:rPr>
              <w:t>basalt</w:t>
            </w:r>
          </w:p>
        </w:tc>
        <w:tc>
          <w:tcPr>
            <w:tcW w:w="234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77" w:lineRule="auto"/>
              <w:ind w:left="283" w:right="177" w:hanging="104"/>
              <w:rPr>
                <w:lang w:val="en-GB"/>
              </w:rPr>
            </w:pPr>
            <w:r w:rsidRPr="009E1094">
              <w:rPr>
                <w:sz w:val="18"/>
                <w:szCs w:val="18"/>
                <w:lang w:val="en-GB"/>
              </w:rPr>
              <w:t>mainly mineral clasts,</w:t>
            </w:r>
            <w:r w:rsidRPr="009E1094">
              <w:rPr>
                <w:spacing w:val="-6"/>
                <w:sz w:val="18"/>
                <w:szCs w:val="18"/>
                <w:lang w:val="en-GB"/>
              </w:rPr>
              <w:t xml:space="preserve"> </w:t>
            </w:r>
            <w:r w:rsidRPr="009E1094">
              <w:rPr>
                <w:sz w:val="18"/>
                <w:szCs w:val="18"/>
                <w:lang w:val="en-GB"/>
              </w:rPr>
              <w:t>SIV: 10; VTT: 0.5;</w:t>
            </w:r>
            <w:r w:rsidRPr="009E1094">
              <w:rPr>
                <w:spacing w:val="-7"/>
                <w:sz w:val="18"/>
                <w:szCs w:val="18"/>
                <w:lang w:val="en-GB"/>
              </w:rPr>
              <w:t xml:space="preserve"> </w:t>
            </w:r>
            <w:r w:rsidRPr="009E1094">
              <w:rPr>
                <w:sz w:val="18"/>
                <w:szCs w:val="18"/>
                <w:lang w:val="en-GB"/>
              </w:rPr>
              <w:t>TVB:0.15</w:t>
            </w:r>
          </w:p>
        </w:tc>
        <w:tc>
          <w:tcPr>
            <w:tcW w:w="1620"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77" w:lineRule="auto"/>
              <w:ind w:left="415" w:right="64" w:hanging="346"/>
            </w:pPr>
            <w:r>
              <w:rPr>
                <w:sz w:val="18"/>
                <w:szCs w:val="18"/>
              </w:rPr>
              <w:t>epiclastic</w:t>
            </w:r>
            <w:r>
              <w:rPr>
                <w:spacing w:val="-3"/>
                <w:sz w:val="18"/>
                <w:szCs w:val="18"/>
              </w:rPr>
              <w:t xml:space="preserve"> </w:t>
            </w:r>
            <w:r>
              <w:rPr>
                <w:sz w:val="18"/>
                <w:szCs w:val="18"/>
              </w:rPr>
              <w:t>mass-flow (turbiditic)</w:t>
            </w:r>
          </w:p>
        </w:tc>
        <w:tc>
          <w:tcPr>
            <w:tcW w:w="108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77" w:lineRule="auto"/>
              <w:ind w:left="328" w:right="253" w:hanging="75"/>
            </w:pPr>
            <w:r>
              <w:rPr>
                <w:sz w:val="18"/>
                <w:szCs w:val="18"/>
              </w:rPr>
              <w:t>Internal zones</w:t>
            </w:r>
          </w:p>
        </w:tc>
        <w:tc>
          <w:tcPr>
            <w:tcW w:w="82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5" w:lineRule="exact"/>
              <w:jc w:val="center"/>
              <w:rPr>
                <w:sz w:val="18"/>
                <w:szCs w:val="18"/>
              </w:rPr>
            </w:pPr>
            <w:r>
              <w:rPr>
                <w:sz w:val="18"/>
                <w:szCs w:val="18"/>
              </w:rPr>
              <w:t>[1]</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jc w:val="center"/>
            </w:pPr>
            <w:r>
              <w:rPr>
                <w:sz w:val="18"/>
                <w:szCs w:val="18"/>
              </w:rPr>
              <w:t>[4]</w:t>
            </w:r>
          </w:p>
        </w:tc>
      </w:tr>
      <w:tr w:rsidR="000F6F08" w:rsidTr="00525891">
        <w:trPr>
          <w:trHeight w:hRule="exact" w:val="1666"/>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338"/>
            </w:pPr>
            <w:r>
              <w:rPr>
                <w:sz w:val="18"/>
                <w:szCs w:val="18"/>
              </w:rPr>
              <w:t>Rif /</w:t>
            </w:r>
            <w:r>
              <w:rPr>
                <w:spacing w:val="-2"/>
                <w:sz w:val="18"/>
                <w:szCs w:val="18"/>
              </w:rPr>
              <w:t xml:space="preserve"> </w:t>
            </w:r>
            <w:r>
              <w:rPr>
                <w:sz w:val="18"/>
                <w:szCs w:val="18"/>
              </w:rPr>
              <w:t>5</w:t>
            </w:r>
          </w:p>
        </w:tc>
        <w:tc>
          <w:tcPr>
            <w:tcW w:w="1260"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383" w:right="284" w:hanging="96"/>
            </w:pPr>
            <w:r>
              <w:rPr>
                <w:sz w:val="18"/>
                <w:szCs w:val="18"/>
              </w:rPr>
              <w:t>Beni Ider Flysch</w:t>
            </w:r>
          </w:p>
        </w:tc>
        <w:tc>
          <w:tcPr>
            <w:tcW w:w="126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jc w:val="center"/>
              <w:rPr>
                <w:sz w:val="18"/>
                <w:szCs w:val="18"/>
              </w:rPr>
            </w:pPr>
            <w:r>
              <w:rPr>
                <w:sz w:val="18"/>
                <w:szCs w:val="18"/>
              </w:rPr>
              <w:t>late</w:t>
            </w:r>
            <w:r>
              <w:rPr>
                <w:spacing w:val="-2"/>
                <w:sz w:val="18"/>
                <w:szCs w:val="18"/>
              </w:rPr>
              <w:t xml:space="preserve"> </w:t>
            </w:r>
            <w:r>
              <w:rPr>
                <w:sz w:val="18"/>
                <w:szCs w:val="18"/>
              </w:rPr>
              <w:t>Aquitanian</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spacing w:line="482" w:lineRule="auto"/>
              <w:ind w:left="199" w:right="199" w:firstLine="2"/>
              <w:jc w:val="center"/>
            </w:pPr>
            <w:r>
              <w:rPr>
                <w:sz w:val="18"/>
                <w:szCs w:val="18"/>
              </w:rPr>
              <w:t>-early Burdigalian</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122" w:right="123" w:firstLine="276"/>
            </w:pPr>
            <w:r>
              <w:rPr>
                <w:sz w:val="18"/>
                <w:szCs w:val="18"/>
              </w:rPr>
              <w:t>andesite, basalt</w:t>
            </w:r>
            <w:r>
              <w:rPr>
                <w:spacing w:val="-6"/>
                <w:sz w:val="18"/>
                <w:szCs w:val="18"/>
              </w:rPr>
              <w:t xml:space="preserve"> </w:t>
            </w:r>
            <w:r>
              <w:rPr>
                <w:sz w:val="18"/>
                <w:szCs w:val="18"/>
              </w:rPr>
              <w:t>fragments</w:t>
            </w:r>
          </w:p>
        </w:tc>
        <w:tc>
          <w:tcPr>
            <w:tcW w:w="2341" w:type="dxa"/>
            <w:gridSpan w:val="4"/>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right="3"/>
              <w:jc w:val="center"/>
            </w:pPr>
            <w:r>
              <w:rPr>
                <w:sz w:val="18"/>
                <w:szCs w:val="18"/>
              </w:rPr>
              <w:t>lava</w:t>
            </w:r>
            <w:r>
              <w:rPr>
                <w:spacing w:val="-5"/>
                <w:sz w:val="18"/>
                <w:szCs w:val="18"/>
              </w:rPr>
              <w:t xml:space="preserve"> </w:t>
            </w:r>
            <w:r>
              <w:rPr>
                <w:sz w:val="18"/>
                <w:szCs w:val="18"/>
              </w:rPr>
              <w:t>clasts</w:t>
            </w:r>
          </w:p>
        </w:tc>
        <w:tc>
          <w:tcPr>
            <w:tcW w:w="1620"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146" w:right="147" w:firstLine="3"/>
              <w:jc w:val="center"/>
              <w:rPr>
                <w:lang w:val="en-GB"/>
              </w:rPr>
            </w:pPr>
            <w:r w:rsidRPr="009E1094">
              <w:rPr>
                <w:sz w:val="18"/>
                <w:szCs w:val="18"/>
                <w:lang w:val="en-GB"/>
              </w:rPr>
              <w:t>syn- and/or</w:t>
            </w:r>
            <w:r w:rsidRPr="009E1094">
              <w:rPr>
                <w:spacing w:val="-2"/>
                <w:sz w:val="18"/>
                <w:szCs w:val="18"/>
                <w:lang w:val="en-GB"/>
              </w:rPr>
              <w:t xml:space="preserve"> </w:t>
            </w:r>
            <w:r w:rsidRPr="009E1094">
              <w:rPr>
                <w:sz w:val="18"/>
                <w:szCs w:val="18"/>
                <w:lang w:val="en-GB"/>
              </w:rPr>
              <w:t>post- eruptive</w:t>
            </w:r>
            <w:r w:rsidRPr="009E1094">
              <w:rPr>
                <w:spacing w:val="-3"/>
                <w:sz w:val="18"/>
                <w:szCs w:val="18"/>
                <w:lang w:val="en-GB"/>
              </w:rPr>
              <w:t xml:space="preserve"> </w:t>
            </w:r>
            <w:r w:rsidRPr="009E1094">
              <w:rPr>
                <w:sz w:val="18"/>
                <w:szCs w:val="18"/>
                <w:lang w:val="en-GB"/>
              </w:rPr>
              <w:t>epiclastic mass-flow (turbiditic)</w:t>
            </w:r>
          </w:p>
        </w:tc>
        <w:tc>
          <w:tcPr>
            <w:tcW w:w="1080" w:type="dxa"/>
            <w:gridSpan w:val="3"/>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6"/>
              <w:rPr>
                <w:sz w:val="17"/>
                <w:szCs w:val="17"/>
                <w:lang w:val="en-GB"/>
              </w:rPr>
            </w:pPr>
          </w:p>
          <w:p w:rsidR="000F6F08" w:rsidRDefault="000F6F08" w:rsidP="00E706B5">
            <w:pPr>
              <w:pStyle w:val="TableParagraph"/>
              <w:kinsoku w:val="0"/>
              <w:overflowPunct w:val="0"/>
              <w:spacing w:line="482" w:lineRule="auto"/>
              <w:ind w:left="328" w:right="253" w:hanging="75"/>
            </w:pPr>
            <w:r>
              <w:rPr>
                <w:sz w:val="18"/>
                <w:szCs w:val="18"/>
              </w:rPr>
              <w:t>Internal zones</w:t>
            </w:r>
          </w:p>
        </w:tc>
        <w:tc>
          <w:tcPr>
            <w:tcW w:w="82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jc w:val="center"/>
              <w:rPr>
                <w:sz w:val="18"/>
                <w:szCs w:val="18"/>
              </w:rPr>
            </w:pPr>
            <w:r>
              <w:rPr>
                <w:sz w:val="18"/>
                <w:szCs w:val="18"/>
              </w:rPr>
              <w:t>[1]</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jc w:val="center"/>
              <w:rPr>
                <w:sz w:val="18"/>
                <w:szCs w:val="18"/>
              </w:rPr>
            </w:pPr>
            <w:r>
              <w:rPr>
                <w:sz w:val="18"/>
                <w:szCs w:val="18"/>
              </w:rPr>
              <w:t>[6]</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jc w:val="center"/>
            </w:pPr>
            <w:r>
              <w:rPr>
                <w:sz w:val="18"/>
                <w:szCs w:val="18"/>
              </w:rPr>
              <w:t>[2]</w:t>
            </w:r>
          </w:p>
        </w:tc>
      </w:tr>
      <w:tr w:rsidR="000F6F08" w:rsidTr="00525891">
        <w:trPr>
          <w:trHeight w:hRule="exact" w:val="1250"/>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338"/>
            </w:pPr>
            <w:r>
              <w:rPr>
                <w:sz w:val="18"/>
                <w:szCs w:val="18"/>
              </w:rPr>
              <w:t>Rif /</w:t>
            </w:r>
            <w:r>
              <w:rPr>
                <w:spacing w:val="-2"/>
                <w:sz w:val="18"/>
                <w:szCs w:val="18"/>
              </w:rPr>
              <w:t xml:space="preserve"> </w:t>
            </w:r>
            <w:r>
              <w:rPr>
                <w:sz w:val="18"/>
                <w:szCs w:val="18"/>
              </w:rPr>
              <w:t>6</w:t>
            </w:r>
          </w:p>
        </w:tc>
        <w:tc>
          <w:tcPr>
            <w:tcW w:w="1260"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60" w:right="156" w:hanging="3"/>
              <w:jc w:val="center"/>
            </w:pPr>
            <w:r>
              <w:rPr>
                <w:sz w:val="18"/>
                <w:szCs w:val="18"/>
              </w:rPr>
              <w:t>Talaa</w:t>
            </w:r>
            <w:r>
              <w:rPr>
                <w:spacing w:val="-4"/>
                <w:sz w:val="18"/>
                <w:szCs w:val="18"/>
              </w:rPr>
              <w:t xml:space="preserve"> </w:t>
            </w:r>
            <w:r>
              <w:rPr>
                <w:sz w:val="18"/>
                <w:szCs w:val="18"/>
              </w:rPr>
              <w:t>Lakra (Mixed Successions)</w:t>
            </w:r>
          </w:p>
        </w:tc>
        <w:tc>
          <w:tcPr>
            <w:tcW w:w="126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jc w:val="center"/>
              <w:rPr>
                <w:sz w:val="18"/>
                <w:szCs w:val="18"/>
              </w:rPr>
            </w:pPr>
            <w:r>
              <w:rPr>
                <w:sz w:val="18"/>
                <w:szCs w:val="18"/>
              </w:rPr>
              <w:t>late</w:t>
            </w:r>
            <w:r>
              <w:rPr>
                <w:spacing w:val="-2"/>
                <w:sz w:val="18"/>
                <w:szCs w:val="18"/>
              </w:rPr>
              <w:t xml:space="preserve"> </w:t>
            </w:r>
            <w:r>
              <w:rPr>
                <w:sz w:val="18"/>
                <w:szCs w:val="18"/>
              </w:rPr>
              <w:t>Aquitanian</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spacing w:line="482" w:lineRule="auto"/>
              <w:ind w:left="199" w:right="199" w:firstLine="2"/>
              <w:jc w:val="center"/>
            </w:pPr>
            <w:r>
              <w:rPr>
                <w:sz w:val="18"/>
                <w:szCs w:val="18"/>
              </w:rPr>
              <w:t>-early Burdigalian</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355" w:right="355" w:firstLine="64"/>
            </w:pPr>
            <w:r>
              <w:rPr>
                <w:sz w:val="18"/>
                <w:szCs w:val="18"/>
              </w:rPr>
              <w:t>andesite fragments</w:t>
            </w:r>
          </w:p>
        </w:tc>
        <w:tc>
          <w:tcPr>
            <w:tcW w:w="2341" w:type="dxa"/>
            <w:gridSpan w:val="4"/>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right="3"/>
              <w:jc w:val="center"/>
            </w:pPr>
            <w:r>
              <w:rPr>
                <w:sz w:val="18"/>
                <w:szCs w:val="18"/>
              </w:rPr>
              <w:t>lava</w:t>
            </w:r>
            <w:r>
              <w:rPr>
                <w:spacing w:val="-5"/>
                <w:sz w:val="18"/>
                <w:szCs w:val="18"/>
              </w:rPr>
              <w:t xml:space="preserve"> </w:t>
            </w:r>
            <w:r>
              <w:rPr>
                <w:sz w:val="18"/>
                <w:szCs w:val="18"/>
              </w:rPr>
              <w:t>clasts</w:t>
            </w:r>
          </w:p>
        </w:tc>
        <w:tc>
          <w:tcPr>
            <w:tcW w:w="1620"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146" w:right="147" w:firstLine="48"/>
              <w:jc w:val="both"/>
              <w:rPr>
                <w:lang w:val="en-GB"/>
              </w:rPr>
            </w:pPr>
            <w:r w:rsidRPr="009E1094">
              <w:rPr>
                <w:sz w:val="18"/>
                <w:szCs w:val="18"/>
                <w:lang w:val="en-GB"/>
              </w:rPr>
              <w:t>syn- and/or</w:t>
            </w:r>
            <w:r w:rsidRPr="009E1094">
              <w:rPr>
                <w:spacing w:val="-2"/>
                <w:sz w:val="18"/>
                <w:szCs w:val="18"/>
                <w:lang w:val="en-GB"/>
              </w:rPr>
              <w:t xml:space="preserve"> </w:t>
            </w:r>
            <w:r w:rsidRPr="009E1094">
              <w:rPr>
                <w:sz w:val="18"/>
                <w:szCs w:val="18"/>
                <w:lang w:val="en-GB"/>
              </w:rPr>
              <w:t>post- eruptive</w:t>
            </w:r>
            <w:r w:rsidRPr="009E1094">
              <w:rPr>
                <w:spacing w:val="-3"/>
                <w:sz w:val="18"/>
                <w:szCs w:val="18"/>
                <w:lang w:val="en-GB"/>
              </w:rPr>
              <w:t xml:space="preserve"> </w:t>
            </w:r>
            <w:r w:rsidRPr="009E1094">
              <w:rPr>
                <w:sz w:val="18"/>
                <w:szCs w:val="18"/>
                <w:lang w:val="en-GB"/>
              </w:rPr>
              <w:t>epiclastic mass-flow</w:t>
            </w:r>
            <w:r w:rsidRPr="009E1094">
              <w:rPr>
                <w:spacing w:val="-4"/>
                <w:sz w:val="18"/>
                <w:szCs w:val="18"/>
                <w:lang w:val="en-GB"/>
              </w:rPr>
              <w:t xml:space="preserve"> </w:t>
            </w:r>
            <w:r w:rsidRPr="009E1094">
              <w:rPr>
                <w:sz w:val="18"/>
                <w:szCs w:val="18"/>
                <w:lang w:val="en-GB"/>
              </w:rPr>
              <w:t>(turb.)</w:t>
            </w:r>
          </w:p>
        </w:tc>
        <w:tc>
          <w:tcPr>
            <w:tcW w:w="1080" w:type="dxa"/>
            <w:gridSpan w:val="3"/>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6"/>
              <w:rPr>
                <w:sz w:val="17"/>
                <w:szCs w:val="17"/>
                <w:lang w:val="en-GB"/>
              </w:rPr>
            </w:pPr>
          </w:p>
          <w:p w:rsidR="000F6F08" w:rsidRDefault="000F6F08" w:rsidP="00E706B5">
            <w:pPr>
              <w:pStyle w:val="TableParagraph"/>
              <w:kinsoku w:val="0"/>
              <w:overflowPunct w:val="0"/>
              <w:spacing w:line="482" w:lineRule="auto"/>
              <w:ind w:left="328" w:right="253" w:hanging="75"/>
            </w:pPr>
            <w:r>
              <w:rPr>
                <w:sz w:val="18"/>
                <w:szCs w:val="18"/>
              </w:rPr>
              <w:t>Internal zones</w:t>
            </w:r>
          </w:p>
        </w:tc>
        <w:tc>
          <w:tcPr>
            <w:tcW w:w="82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ind w:right="1"/>
              <w:jc w:val="center"/>
              <w:rPr>
                <w:sz w:val="18"/>
                <w:szCs w:val="18"/>
              </w:rPr>
            </w:pPr>
            <w:r>
              <w:rPr>
                <w:sz w:val="18"/>
                <w:szCs w:val="18"/>
              </w:rPr>
              <w:t>[1]</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jc w:val="center"/>
            </w:pPr>
            <w:r>
              <w:rPr>
                <w:sz w:val="18"/>
                <w:szCs w:val="18"/>
              </w:rPr>
              <w:t>[6]</w:t>
            </w:r>
          </w:p>
        </w:tc>
      </w:tr>
      <w:tr w:rsidR="000F6F08" w:rsidTr="00525891">
        <w:trPr>
          <w:trHeight w:hRule="exact" w:val="838"/>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242" w:right="238" w:firstLine="12"/>
            </w:pPr>
            <w:r>
              <w:rPr>
                <w:sz w:val="18"/>
                <w:szCs w:val="18"/>
              </w:rPr>
              <w:t>Algerian Tell/ 7,</w:t>
            </w:r>
            <w:r>
              <w:rPr>
                <w:spacing w:val="-2"/>
                <w:sz w:val="18"/>
                <w:szCs w:val="18"/>
              </w:rPr>
              <w:t xml:space="preserve"> </w:t>
            </w:r>
            <w:r>
              <w:rPr>
                <w:sz w:val="18"/>
                <w:szCs w:val="18"/>
              </w:rPr>
              <w:t>8</w:t>
            </w:r>
          </w:p>
        </w:tc>
        <w:tc>
          <w:tcPr>
            <w:tcW w:w="1260"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340" w:right="72" w:hanging="267"/>
            </w:pPr>
            <w:r>
              <w:rPr>
                <w:sz w:val="18"/>
                <w:szCs w:val="18"/>
              </w:rPr>
              <w:t>Oligo-Miocène Kabylia</w:t>
            </w:r>
          </w:p>
        </w:tc>
        <w:tc>
          <w:tcPr>
            <w:tcW w:w="126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103" w:right="63" w:hanging="39"/>
            </w:pPr>
            <w:r>
              <w:rPr>
                <w:sz w:val="18"/>
                <w:szCs w:val="18"/>
              </w:rPr>
              <w:t>Burdigalian</w:t>
            </w:r>
            <w:r>
              <w:rPr>
                <w:spacing w:val="-2"/>
                <w:sz w:val="18"/>
                <w:szCs w:val="18"/>
              </w:rPr>
              <w:t xml:space="preserve"> </w:t>
            </w:r>
            <w:r>
              <w:rPr>
                <w:sz w:val="18"/>
                <w:szCs w:val="18"/>
              </w:rPr>
              <w:t>p.p (19.1±1.0</w:t>
            </w:r>
            <w:r>
              <w:rPr>
                <w:spacing w:val="-1"/>
                <w:sz w:val="18"/>
                <w:szCs w:val="18"/>
              </w:rPr>
              <w:t xml:space="preserve"> </w:t>
            </w:r>
            <w:r>
              <w:rPr>
                <w:sz w:val="18"/>
                <w:szCs w:val="18"/>
              </w:rPr>
              <w:t>Ma)</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434"/>
            </w:pPr>
            <w:r>
              <w:rPr>
                <w:sz w:val="18"/>
                <w:szCs w:val="18"/>
              </w:rPr>
              <w:t>rhyolite</w:t>
            </w:r>
          </w:p>
        </w:tc>
        <w:tc>
          <w:tcPr>
            <w:tcW w:w="234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2" w:lineRule="auto"/>
              <w:ind w:left="139" w:right="91" w:hanging="51"/>
              <w:rPr>
                <w:lang w:val="en-GB"/>
              </w:rPr>
            </w:pPr>
            <w:r w:rsidRPr="009E1094">
              <w:rPr>
                <w:sz w:val="18"/>
                <w:szCs w:val="18"/>
                <w:lang w:val="en-GB"/>
              </w:rPr>
              <w:t>glass-shards; grains of</w:t>
            </w:r>
            <w:r w:rsidRPr="009E1094">
              <w:rPr>
                <w:spacing w:val="-5"/>
                <w:sz w:val="18"/>
                <w:szCs w:val="18"/>
                <w:lang w:val="en-GB"/>
              </w:rPr>
              <w:t xml:space="preserve"> </w:t>
            </w:r>
            <w:r w:rsidRPr="009E1094">
              <w:rPr>
                <w:sz w:val="18"/>
                <w:szCs w:val="18"/>
                <w:lang w:val="en-GB"/>
              </w:rPr>
              <w:t>quartz, plagioclase, sanidine,</w:t>
            </w:r>
            <w:r w:rsidRPr="009E1094">
              <w:rPr>
                <w:spacing w:val="-5"/>
                <w:sz w:val="18"/>
                <w:szCs w:val="18"/>
                <w:lang w:val="en-GB"/>
              </w:rPr>
              <w:t xml:space="preserve"> </w:t>
            </w:r>
            <w:r w:rsidRPr="009E1094">
              <w:rPr>
                <w:sz w:val="18"/>
                <w:szCs w:val="18"/>
                <w:lang w:val="en-GB"/>
              </w:rPr>
              <w:t>biotite</w:t>
            </w:r>
          </w:p>
        </w:tc>
        <w:tc>
          <w:tcPr>
            <w:tcW w:w="1620"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415" w:right="64" w:hanging="346"/>
            </w:pPr>
            <w:r>
              <w:rPr>
                <w:sz w:val="18"/>
                <w:szCs w:val="18"/>
              </w:rPr>
              <w:t>epiclastic</w:t>
            </w:r>
            <w:r>
              <w:rPr>
                <w:spacing w:val="-3"/>
                <w:sz w:val="18"/>
                <w:szCs w:val="18"/>
              </w:rPr>
              <w:t xml:space="preserve"> </w:t>
            </w:r>
            <w:r>
              <w:rPr>
                <w:sz w:val="18"/>
                <w:szCs w:val="18"/>
              </w:rPr>
              <w:t>mass-flow (turbiditic)</w:t>
            </w:r>
          </w:p>
        </w:tc>
        <w:tc>
          <w:tcPr>
            <w:tcW w:w="108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134" w:right="134" w:firstLine="100"/>
            </w:pPr>
            <w:r>
              <w:rPr>
                <w:sz w:val="18"/>
                <w:szCs w:val="18"/>
              </w:rPr>
              <w:t>Western Mediterran</w:t>
            </w:r>
          </w:p>
        </w:tc>
        <w:tc>
          <w:tcPr>
            <w:tcW w:w="82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jc w:val="center"/>
              <w:rPr>
                <w:sz w:val="18"/>
                <w:szCs w:val="18"/>
              </w:rPr>
            </w:pPr>
            <w:r>
              <w:rPr>
                <w:sz w:val="18"/>
                <w:szCs w:val="18"/>
              </w:rPr>
              <w:t>[11]</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jc w:val="center"/>
            </w:pPr>
            <w:r>
              <w:rPr>
                <w:sz w:val="18"/>
                <w:szCs w:val="18"/>
              </w:rPr>
              <w:t>[5]</w:t>
            </w:r>
          </w:p>
        </w:tc>
      </w:tr>
      <w:tr w:rsidR="000F6F08" w:rsidTr="00525891">
        <w:trPr>
          <w:trHeight w:hRule="exact" w:val="1253"/>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266"/>
            </w:pPr>
            <w:r>
              <w:rPr>
                <w:sz w:val="18"/>
                <w:szCs w:val="18"/>
              </w:rPr>
              <w:t>Sicily/</w:t>
            </w:r>
            <w:r>
              <w:rPr>
                <w:spacing w:val="-4"/>
                <w:sz w:val="18"/>
                <w:szCs w:val="18"/>
              </w:rPr>
              <w:t xml:space="preserve"> </w:t>
            </w:r>
            <w:r>
              <w:rPr>
                <w:sz w:val="18"/>
                <w:szCs w:val="18"/>
              </w:rPr>
              <w:t>9</w:t>
            </w:r>
          </w:p>
        </w:tc>
        <w:tc>
          <w:tcPr>
            <w:tcW w:w="1260"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9"/>
              <w:rPr>
                <w:sz w:val="17"/>
                <w:szCs w:val="17"/>
              </w:rPr>
            </w:pPr>
          </w:p>
          <w:p w:rsidR="000F6F08" w:rsidRDefault="000F6F08" w:rsidP="00E706B5">
            <w:pPr>
              <w:pStyle w:val="TableParagraph"/>
              <w:kinsoku w:val="0"/>
              <w:overflowPunct w:val="0"/>
              <w:spacing w:line="477" w:lineRule="auto"/>
              <w:ind w:left="314" w:right="317" w:firstLine="134"/>
            </w:pPr>
            <w:r>
              <w:rPr>
                <w:sz w:val="18"/>
                <w:szCs w:val="18"/>
              </w:rPr>
              <w:t>Tusa Tuffites;</w:t>
            </w:r>
          </w:p>
        </w:tc>
        <w:tc>
          <w:tcPr>
            <w:tcW w:w="126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9"/>
              <w:rPr>
                <w:sz w:val="17"/>
                <w:szCs w:val="17"/>
              </w:rPr>
            </w:pPr>
          </w:p>
          <w:p w:rsidR="000F6F08" w:rsidRDefault="000F6F08" w:rsidP="00E706B5">
            <w:pPr>
              <w:pStyle w:val="TableParagraph"/>
              <w:kinsoku w:val="0"/>
              <w:overflowPunct w:val="0"/>
              <w:spacing w:line="477" w:lineRule="auto"/>
              <w:ind w:left="254" w:right="254" w:firstLine="192"/>
            </w:pPr>
            <w:r>
              <w:rPr>
                <w:sz w:val="18"/>
                <w:szCs w:val="18"/>
              </w:rPr>
              <w:t>early Oligocene</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9"/>
              <w:rPr>
                <w:sz w:val="17"/>
                <w:szCs w:val="17"/>
              </w:rPr>
            </w:pPr>
          </w:p>
          <w:p w:rsidR="000F6F08" w:rsidRDefault="000F6F08" w:rsidP="00E706B5">
            <w:pPr>
              <w:pStyle w:val="TableParagraph"/>
              <w:kinsoku w:val="0"/>
              <w:overflowPunct w:val="0"/>
              <w:spacing w:line="477" w:lineRule="auto"/>
              <w:ind w:left="355" w:right="89" w:hanging="267"/>
            </w:pPr>
            <w:r>
              <w:rPr>
                <w:sz w:val="18"/>
                <w:szCs w:val="18"/>
              </w:rPr>
              <w:t>andesite to</w:t>
            </w:r>
            <w:r>
              <w:rPr>
                <w:spacing w:val="-2"/>
                <w:sz w:val="18"/>
                <w:szCs w:val="18"/>
              </w:rPr>
              <w:t xml:space="preserve"> </w:t>
            </w:r>
            <w:r>
              <w:rPr>
                <w:sz w:val="18"/>
                <w:szCs w:val="18"/>
              </w:rPr>
              <w:t>dacite fragments</w:t>
            </w:r>
          </w:p>
        </w:tc>
        <w:tc>
          <w:tcPr>
            <w:tcW w:w="234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98" w:right="102" w:firstLine="6"/>
              <w:jc w:val="center"/>
              <w:rPr>
                <w:lang w:val="en-GB"/>
              </w:rPr>
            </w:pPr>
            <w:r w:rsidRPr="009E1094">
              <w:rPr>
                <w:sz w:val="18"/>
                <w:szCs w:val="18"/>
                <w:lang w:val="en-GB"/>
              </w:rPr>
              <w:t>lava clasts (80-85%</w:t>
            </w:r>
            <w:r w:rsidRPr="009E1094">
              <w:rPr>
                <w:spacing w:val="-2"/>
                <w:sz w:val="18"/>
                <w:szCs w:val="18"/>
                <w:lang w:val="en-GB"/>
              </w:rPr>
              <w:t xml:space="preserve"> </w:t>
            </w:r>
            <w:r w:rsidRPr="009E1094">
              <w:rPr>
                <w:sz w:val="18"/>
                <w:szCs w:val="18"/>
                <w:lang w:val="en-GB"/>
              </w:rPr>
              <w:t xml:space="preserve">vol.), grain size up to 2.5 </w:t>
            </w:r>
            <w:r w:rsidRPr="009E1094">
              <w:rPr>
                <w:spacing w:val="-3"/>
                <w:sz w:val="18"/>
                <w:szCs w:val="18"/>
                <w:lang w:val="en-GB"/>
              </w:rPr>
              <w:t>mm,</w:t>
            </w:r>
            <w:r w:rsidRPr="009E1094">
              <w:rPr>
                <w:spacing w:val="-2"/>
                <w:sz w:val="18"/>
                <w:szCs w:val="18"/>
                <w:lang w:val="en-GB"/>
              </w:rPr>
              <w:t xml:space="preserve"> </w:t>
            </w:r>
            <w:r w:rsidRPr="009E1094">
              <w:rPr>
                <w:sz w:val="18"/>
                <w:szCs w:val="18"/>
                <w:lang w:val="en-GB"/>
              </w:rPr>
              <w:t>SIV: 600; VTT: 200; TVB:</w:t>
            </w:r>
            <w:r w:rsidRPr="009E1094">
              <w:rPr>
                <w:spacing w:val="-8"/>
                <w:sz w:val="18"/>
                <w:szCs w:val="18"/>
                <w:lang w:val="en-GB"/>
              </w:rPr>
              <w:t xml:space="preserve"> </w:t>
            </w:r>
            <w:r w:rsidRPr="009E1094">
              <w:rPr>
                <w:sz w:val="18"/>
                <w:szCs w:val="18"/>
                <w:lang w:val="en-GB"/>
              </w:rPr>
              <w:t>1.5-2</w:t>
            </w:r>
          </w:p>
        </w:tc>
        <w:tc>
          <w:tcPr>
            <w:tcW w:w="1620"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9"/>
              <w:rPr>
                <w:sz w:val="17"/>
                <w:szCs w:val="17"/>
                <w:lang w:val="en-GB"/>
              </w:rPr>
            </w:pPr>
          </w:p>
          <w:p w:rsidR="000F6F08" w:rsidRDefault="000F6F08" w:rsidP="00E706B5">
            <w:pPr>
              <w:pStyle w:val="TableParagraph"/>
              <w:kinsoku w:val="0"/>
              <w:overflowPunct w:val="0"/>
              <w:spacing w:line="477" w:lineRule="auto"/>
              <w:ind w:left="415" w:right="64" w:hanging="346"/>
            </w:pPr>
            <w:r>
              <w:rPr>
                <w:sz w:val="18"/>
                <w:szCs w:val="18"/>
              </w:rPr>
              <w:t>epiclastic</w:t>
            </w:r>
            <w:r>
              <w:rPr>
                <w:spacing w:val="-3"/>
                <w:sz w:val="18"/>
                <w:szCs w:val="18"/>
              </w:rPr>
              <w:t xml:space="preserve"> </w:t>
            </w:r>
            <w:r>
              <w:rPr>
                <w:sz w:val="18"/>
                <w:szCs w:val="18"/>
              </w:rPr>
              <w:t>mass-flow (turbiditic)</w:t>
            </w:r>
          </w:p>
        </w:tc>
        <w:tc>
          <w:tcPr>
            <w:tcW w:w="108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24" w:right="125"/>
              <w:jc w:val="center"/>
            </w:pPr>
            <w:r>
              <w:rPr>
                <w:sz w:val="18"/>
                <w:szCs w:val="18"/>
              </w:rPr>
              <w:t>Mesomedi- terranean Microplate</w:t>
            </w:r>
          </w:p>
        </w:tc>
        <w:tc>
          <w:tcPr>
            <w:tcW w:w="82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5" w:lineRule="exact"/>
              <w:jc w:val="center"/>
              <w:rPr>
                <w:sz w:val="18"/>
                <w:szCs w:val="18"/>
              </w:rPr>
            </w:pPr>
            <w:r>
              <w:rPr>
                <w:sz w:val="18"/>
                <w:szCs w:val="18"/>
              </w:rPr>
              <w:t>[2]</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jc w:val="center"/>
              <w:rPr>
                <w:sz w:val="18"/>
                <w:szCs w:val="18"/>
              </w:rPr>
            </w:pPr>
            <w:r>
              <w:rPr>
                <w:sz w:val="18"/>
                <w:szCs w:val="18"/>
              </w:rPr>
              <w:t>[1]</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ind w:right="1"/>
              <w:jc w:val="center"/>
            </w:pPr>
            <w:r>
              <w:rPr>
                <w:sz w:val="18"/>
                <w:szCs w:val="18"/>
              </w:rPr>
              <w:t>[12,</w:t>
            </w:r>
            <w:r>
              <w:rPr>
                <w:spacing w:val="-4"/>
                <w:sz w:val="18"/>
                <w:szCs w:val="18"/>
              </w:rPr>
              <w:t xml:space="preserve"> </w:t>
            </w:r>
            <w:r>
              <w:rPr>
                <w:sz w:val="18"/>
                <w:szCs w:val="18"/>
              </w:rPr>
              <w:t>13]</w:t>
            </w:r>
          </w:p>
        </w:tc>
      </w:tr>
      <w:tr w:rsidR="000F6F08" w:rsidTr="00525891">
        <w:trPr>
          <w:trHeight w:hRule="exact" w:val="838"/>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ind w:left="220"/>
            </w:pPr>
            <w:r>
              <w:rPr>
                <w:sz w:val="18"/>
                <w:szCs w:val="18"/>
              </w:rPr>
              <w:t>Sicily/</w:t>
            </w:r>
            <w:r>
              <w:rPr>
                <w:spacing w:val="-3"/>
                <w:sz w:val="18"/>
                <w:szCs w:val="18"/>
              </w:rPr>
              <w:t xml:space="preserve"> </w:t>
            </w:r>
            <w:r>
              <w:rPr>
                <w:sz w:val="18"/>
                <w:szCs w:val="18"/>
              </w:rPr>
              <w:t>10</w:t>
            </w:r>
          </w:p>
        </w:tc>
        <w:tc>
          <w:tcPr>
            <w:tcW w:w="1260"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172" w:right="169" w:firstLine="211"/>
            </w:pPr>
            <w:r>
              <w:rPr>
                <w:sz w:val="18"/>
                <w:szCs w:val="18"/>
              </w:rPr>
              <w:t>Troina Sandstones</w:t>
            </w:r>
            <w:r>
              <w:rPr>
                <w:spacing w:val="-1"/>
                <w:sz w:val="18"/>
                <w:szCs w:val="18"/>
              </w:rPr>
              <w:t xml:space="preserve"> </w:t>
            </w:r>
            <w:r>
              <w:rPr>
                <w:sz w:val="18"/>
                <w:szCs w:val="18"/>
              </w:rPr>
              <w:t>/</w:t>
            </w:r>
          </w:p>
        </w:tc>
        <w:tc>
          <w:tcPr>
            <w:tcW w:w="126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ind w:left="64"/>
            </w:pPr>
            <w:r>
              <w:rPr>
                <w:sz w:val="18"/>
                <w:szCs w:val="18"/>
              </w:rPr>
              <w:t>Burdigalian</w:t>
            </w:r>
            <w:r>
              <w:rPr>
                <w:spacing w:val="-1"/>
                <w:sz w:val="18"/>
                <w:szCs w:val="18"/>
              </w:rPr>
              <w:t xml:space="preserve"> </w:t>
            </w:r>
            <w:r>
              <w:rPr>
                <w:sz w:val="18"/>
                <w:szCs w:val="18"/>
              </w:rPr>
              <w:t>pp.</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307" w:right="308" w:firstLine="112"/>
            </w:pPr>
            <w:r>
              <w:rPr>
                <w:sz w:val="18"/>
                <w:szCs w:val="18"/>
              </w:rPr>
              <w:t>andesite fragments</w:t>
            </w:r>
            <w:r>
              <w:rPr>
                <w:spacing w:val="-5"/>
                <w:sz w:val="18"/>
                <w:szCs w:val="18"/>
              </w:rPr>
              <w:t xml:space="preserve"> </w:t>
            </w:r>
            <w:r>
              <w:rPr>
                <w:sz w:val="18"/>
                <w:szCs w:val="18"/>
              </w:rPr>
              <w:t>/</w:t>
            </w:r>
          </w:p>
        </w:tc>
        <w:tc>
          <w:tcPr>
            <w:tcW w:w="234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2" w:lineRule="auto"/>
              <w:ind w:left="136" w:right="140" w:firstLine="62"/>
              <w:rPr>
                <w:lang w:val="en-GB"/>
              </w:rPr>
            </w:pPr>
            <w:r w:rsidRPr="009E1094">
              <w:rPr>
                <w:sz w:val="18"/>
                <w:szCs w:val="18"/>
                <w:lang w:val="en-GB"/>
              </w:rPr>
              <w:t>up to 40 % volcanic</w:t>
            </w:r>
            <w:r w:rsidRPr="009E1094">
              <w:rPr>
                <w:spacing w:val="-3"/>
                <w:sz w:val="18"/>
                <w:szCs w:val="18"/>
                <w:lang w:val="en-GB"/>
              </w:rPr>
              <w:t xml:space="preserve"> </w:t>
            </w:r>
            <w:r w:rsidRPr="009E1094">
              <w:rPr>
                <w:sz w:val="18"/>
                <w:szCs w:val="18"/>
                <w:lang w:val="en-GB"/>
              </w:rPr>
              <w:t>clasts, grain size &gt;2 mm; SIV:</w:t>
            </w:r>
            <w:r w:rsidRPr="009E1094">
              <w:rPr>
                <w:spacing w:val="-8"/>
                <w:sz w:val="18"/>
                <w:szCs w:val="18"/>
                <w:lang w:val="en-GB"/>
              </w:rPr>
              <w:t xml:space="preserve"> </w:t>
            </w:r>
            <w:r w:rsidRPr="009E1094">
              <w:rPr>
                <w:sz w:val="18"/>
                <w:szCs w:val="18"/>
                <w:lang w:val="en-GB"/>
              </w:rPr>
              <w:t>150,</w:t>
            </w:r>
          </w:p>
        </w:tc>
        <w:tc>
          <w:tcPr>
            <w:tcW w:w="1620"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64" w:right="69"/>
            </w:pPr>
            <w:r>
              <w:rPr>
                <w:sz w:val="18"/>
                <w:szCs w:val="18"/>
              </w:rPr>
              <w:t>epiclastic</w:t>
            </w:r>
            <w:r>
              <w:rPr>
                <w:spacing w:val="-3"/>
                <w:sz w:val="18"/>
                <w:szCs w:val="18"/>
              </w:rPr>
              <w:t xml:space="preserve"> </w:t>
            </w:r>
            <w:r>
              <w:rPr>
                <w:sz w:val="18"/>
                <w:szCs w:val="18"/>
              </w:rPr>
              <w:t>mass-flow (turbiditic)</w:t>
            </w:r>
          </w:p>
        </w:tc>
        <w:tc>
          <w:tcPr>
            <w:tcW w:w="1080"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139" w:right="107" w:hanging="32"/>
            </w:pPr>
            <w:r>
              <w:rPr>
                <w:sz w:val="18"/>
                <w:szCs w:val="18"/>
              </w:rPr>
              <w:t>Mesomedit. Microplate</w:t>
            </w:r>
          </w:p>
        </w:tc>
        <w:tc>
          <w:tcPr>
            <w:tcW w:w="82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jc w:val="center"/>
              <w:rPr>
                <w:sz w:val="18"/>
                <w:szCs w:val="18"/>
              </w:rPr>
            </w:pPr>
            <w:r>
              <w:rPr>
                <w:sz w:val="18"/>
                <w:szCs w:val="18"/>
              </w:rPr>
              <w:t>[2]</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jc w:val="center"/>
            </w:pPr>
            <w:r>
              <w:rPr>
                <w:sz w:val="18"/>
                <w:szCs w:val="18"/>
              </w:rPr>
              <w:t>[6]</w:t>
            </w:r>
          </w:p>
        </w:tc>
      </w:tr>
      <w:tr w:rsidR="000F6F08" w:rsidTr="0072057D">
        <w:trPr>
          <w:trHeight w:hRule="exact" w:val="2081"/>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218" w:right="130" w:hanging="87"/>
            </w:pPr>
            <w:r>
              <w:rPr>
                <w:sz w:val="18"/>
                <w:szCs w:val="18"/>
              </w:rPr>
              <w:t>Poggio</w:t>
            </w:r>
            <w:r>
              <w:rPr>
                <w:spacing w:val="-2"/>
                <w:sz w:val="18"/>
                <w:szCs w:val="18"/>
              </w:rPr>
              <w:t xml:space="preserve"> </w:t>
            </w:r>
            <w:r>
              <w:rPr>
                <w:sz w:val="18"/>
                <w:szCs w:val="18"/>
              </w:rPr>
              <w:t>Maria Sandstones</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tc>
        <w:tc>
          <w:tcPr>
            <w:tcW w:w="1559" w:type="dxa"/>
            <w:gridSpan w:val="3"/>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175" w:right="172" w:hanging="4"/>
              <w:jc w:val="center"/>
              <w:rPr>
                <w:lang w:val="en-GB"/>
              </w:rPr>
            </w:pPr>
            <w:r w:rsidRPr="009E1094">
              <w:rPr>
                <w:sz w:val="18"/>
                <w:szCs w:val="18"/>
                <w:lang w:val="en-GB"/>
              </w:rPr>
              <w:t>volcanic</w:t>
            </w:r>
            <w:r w:rsidRPr="009E1094">
              <w:rPr>
                <w:spacing w:val="-3"/>
                <w:sz w:val="18"/>
                <w:szCs w:val="18"/>
                <w:lang w:val="en-GB"/>
              </w:rPr>
              <w:t xml:space="preserve"> </w:t>
            </w:r>
            <w:r w:rsidRPr="009E1094">
              <w:rPr>
                <w:sz w:val="18"/>
                <w:szCs w:val="18"/>
                <w:lang w:val="en-GB"/>
              </w:rPr>
              <w:t>glass, andesite-dacite fragments</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202" w:lineRule="exact"/>
              <w:jc w:val="center"/>
              <w:rPr>
                <w:sz w:val="18"/>
                <w:szCs w:val="18"/>
                <w:lang w:val="en-GB"/>
              </w:rPr>
            </w:pPr>
            <w:r w:rsidRPr="009E1094">
              <w:rPr>
                <w:sz w:val="18"/>
                <w:szCs w:val="18"/>
                <w:lang w:val="en-GB"/>
              </w:rPr>
              <w:t>VTT: 30-40; TVB: 0’5-1</w:t>
            </w:r>
            <w:r w:rsidRPr="009E1094">
              <w:rPr>
                <w:spacing w:val="-4"/>
                <w:sz w:val="18"/>
                <w:szCs w:val="18"/>
                <w:lang w:val="en-GB"/>
              </w:rPr>
              <w:t xml:space="preserve"> </w:t>
            </w:r>
            <w:r w:rsidRPr="009E1094">
              <w:rPr>
                <w:sz w:val="18"/>
                <w:szCs w:val="18"/>
                <w:lang w:val="en-GB"/>
              </w:rPr>
              <w:t>/</w:t>
            </w:r>
          </w:p>
          <w:p w:rsidR="000F6F08" w:rsidRPr="009E1094" w:rsidRDefault="000F6F08" w:rsidP="00E706B5">
            <w:pPr>
              <w:pStyle w:val="TableParagraph"/>
              <w:kinsoku w:val="0"/>
              <w:overflowPunct w:val="0"/>
              <w:spacing w:before="1"/>
              <w:rPr>
                <w:sz w:val="18"/>
                <w:szCs w:val="18"/>
                <w:lang w:val="en-GB"/>
              </w:rPr>
            </w:pPr>
          </w:p>
          <w:p w:rsidR="000F6F08" w:rsidRPr="009E1094" w:rsidRDefault="000F6F08" w:rsidP="00E706B5">
            <w:pPr>
              <w:pStyle w:val="TableParagraph"/>
              <w:kinsoku w:val="0"/>
              <w:overflowPunct w:val="0"/>
              <w:spacing w:line="477" w:lineRule="auto"/>
              <w:ind w:left="112" w:right="113" w:firstLine="2"/>
              <w:jc w:val="center"/>
              <w:rPr>
                <w:sz w:val="18"/>
                <w:szCs w:val="18"/>
                <w:lang w:val="en-GB"/>
              </w:rPr>
            </w:pPr>
            <w:r w:rsidRPr="009E1094">
              <w:rPr>
                <w:sz w:val="18"/>
                <w:szCs w:val="18"/>
                <w:lang w:val="en-GB"/>
              </w:rPr>
              <w:t>lava and mineral clasts</w:t>
            </w:r>
            <w:r w:rsidRPr="009E1094">
              <w:rPr>
                <w:spacing w:val="-4"/>
                <w:sz w:val="18"/>
                <w:szCs w:val="18"/>
                <w:lang w:val="en-GB"/>
              </w:rPr>
              <w:t xml:space="preserve"> </w:t>
            </w:r>
            <w:r w:rsidRPr="009E1094">
              <w:rPr>
                <w:sz w:val="18"/>
                <w:szCs w:val="18"/>
                <w:lang w:val="en-GB"/>
              </w:rPr>
              <w:t>(30- 35% vol.), grain size &gt;2</w:t>
            </w:r>
            <w:r w:rsidRPr="009E1094">
              <w:rPr>
                <w:spacing w:val="-11"/>
                <w:sz w:val="18"/>
                <w:szCs w:val="18"/>
                <w:lang w:val="en-GB"/>
              </w:rPr>
              <w:t xml:space="preserve"> </w:t>
            </w:r>
            <w:r w:rsidRPr="009E1094">
              <w:rPr>
                <w:sz w:val="18"/>
                <w:szCs w:val="18"/>
                <w:lang w:val="en-GB"/>
              </w:rPr>
              <w:t>mm;</w:t>
            </w:r>
          </w:p>
          <w:p w:rsidR="000F6F08" w:rsidRDefault="000F6F08" w:rsidP="00E706B5">
            <w:pPr>
              <w:pStyle w:val="TableParagraph"/>
              <w:kinsoku w:val="0"/>
              <w:overflowPunct w:val="0"/>
              <w:spacing w:before="11"/>
              <w:ind w:right="1"/>
              <w:jc w:val="center"/>
              <w:rPr>
                <w:sz w:val="18"/>
                <w:szCs w:val="18"/>
              </w:rPr>
            </w:pPr>
            <w:r>
              <w:rPr>
                <w:sz w:val="18"/>
                <w:szCs w:val="18"/>
              </w:rPr>
              <w:t>SIV: 200; VTT: 30-35;</w:t>
            </w:r>
            <w:r>
              <w:rPr>
                <w:spacing w:val="-8"/>
                <w:sz w:val="18"/>
                <w:szCs w:val="18"/>
              </w:rPr>
              <w:t xml:space="preserve"> </w:t>
            </w:r>
            <w:r>
              <w:rPr>
                <w:sz w:val="18"/>
                <w:szCs w:val="18"/>
              </w:rPr>
              <w:t>TVB:</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jc w:val="center"/>
            </w:pPr>
            <w:r>
              <w:rPr>
                <w:sz w:val="18"/>
                <w:szCs w:val="18"/>
              </w:rPr>
              <w:t>0’5-1,5</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Default="000F6F08" w:rsidP="00E706B5"/>
        </w:tc>
        <w:tc>
          <w:tcPr>
            <w:tcW w:w="1134"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204"/>
            </w:pPr>
            <w:r>
              <w:rPr>
                <w:sz w:val="18"/>
                <w:szCs w:val="18"/>
              </w:rPr>
              <w:t>[12]</w:t>
            </w:r>
          </w:p>
        </w:tc>
      </w:tr>
      <w:tr w:rsidR="000F6F08" w:rsidTr="0072057D">
        <w:trPr>
          <w:trHeight w:hRule="exact" w:val="1250"/>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177"/>
            </w:pPr>
            <w:r>
              <w:rPr>
                <w:sz w:val="18"/>
                <w:szCs w:val="18"/>
              </w:rPr>
              <w:t>Sicily/ 11*</w:t>
            </w:r>
          </w:p>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165"/>
              <w:rPr>
                <w:sz w:val="18"/>
                <w:szCs w:val="18"/>
              </w:rPr>
            </w:pPr>
            <w:r>
              <w:rPr>
                <w:sz w:val="18"/>
                <w:szCs w:val="18"/>
              </w:rPr>
              <w:t>Case</w:t>
            </w:r>
            <w:r>
              <w:rPr>
                <w:spacing w:val="-3"/>
                <w:sz w:val="18"/>
                <w:szCs w:val="18"/>
              </w:rPr>
              <w:t xml:space="preserve"> </w:t>
            </w:r>
            <w:r>
              <w:rPr>
                <w:sz w:val="18"/>
                <w:szCs w:val="18"/>
              </w:rPr>
              <w:t>Liardo,</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left="115"/>
              <w:rPr>
                <w:sz w:val="18"/>
                <w:szCs w:val="18"/>
              </w:rPr>
            </w:pPr>
            <w:r>
              <w:rPr>
                <w:sz w:val="18"/>
                <w:szCs w:val="18"/>
              </w:rPr>
              <w:t>M.</w:t>
            </w:r>
            <w:r>
              <w:rPr>
                <w:spacing w:val="-5"/>
                <w:sz w:val="18"/>
                <w:szCs w:val="18"/>
              </w:rPr>
              <w:t xml:space="preserve"> </w:t>
            </w:r>
            <w:r>
              <w:rPr>
                <w:sz w:val="18"/>
                <w:szCs w:val="18"/>
              </w:rPr>
              <w:t>Ugliarella;</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ind w:left="194"/>
            </w:pPr>
            <w:r>
              <w:rPr>
                <w:sz w:val="18"/>
                <w:szCs w:val="18"/>
              </w:rPr>
              <w:t>C.</w:t>
            </w:r>
            <w:r>
              <w:rPr>
                <w:spacing w:val="-1"/>
                <w:sz w:val="18"/>
                <w:szCs w:val="18"/>
              </w:rPr>
              <w:t xml:space="preserve"> </w:t>
            </w:r>
            <w:r>
              <w:rPr>
                <w:sz w:val="18"/>
                <w:szCs w:val="18"/>
              </w:rPr>
              <w:t>Biticchie</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146"/>
            </w:pPr>
            <w:r>
              <w:rPr>
                <w:sz w:val="18"/>
                <w:szCs w:val="18"/>
              </w:rPr>
              <w:t>mid</w:t>
            </w:r>
            <w:r>
              <w:rPr>
                <w:spacing w:val="-3"/>
                <w:sz w:val="18"/>
                <w:szCs w:val="18"/>
              </w:rPr>
              <w:t xml:space="preserve"> </w:t>
            </w:r>
            <w:r>
              <w:rPr>
                <w:sz w:val="18"/>
                <w:szCs w:val="18"/>
              </w:rPr>
              <w:t>Miocene</w:t>
            </w:r>
          </w:p>
        </w:tc>
        <w:tc>
          <w:tcPr>
            <w:tcW w:w="1559"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107"/>
            </w:pPr>
            <w:r>
              <w:rPr>
                <w:sz w:val="18"/>
                <w:szCs w:val="18"/>
              </w:rPr>
              <w:t>rhyodacitic</w:t>
            </w:r>
            <w:r>
              <w:rPr>
                <w:spacing w:val="-5"/>
                <w:sz w:val="18"/>
                <w:szCs w:val="18"/>
              </w:rPr>
              <w:t xml:space="preserve"> </w:t>
            </w:r>
            <w:r>
              <w:rPr>
                <w:sz w:val="18"/>
                <w:szCs w:val="18"/>
              </w:rPr>
              <w:t>glass</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72" w:right="71"/>
              <w:jc w:val="center"/>
              <w:rPr>
                <w:lang w:val="en-GB"/>
              </w:rPr>
            </w:pPr>
            <w:r w:rsidRPr="009E1094">
              <w:rPr>
                <w:sz w:val="18"/>
                <w:szCs w:val="18"/>
                <w:lang w:val="en-GB"/>
              </w:rPr>
              <w:t>shards, biotite; bentonite</w:t>
            </w:r>
            <w:r w:rsidRPr="009E1094">
              <w:rPr>
                <w:spacing w:val="-11"/>
                <w:sz w:val="18"/>
                <w:szCs w:val="18"/>
                <w:lang w:val="en-GB"/>
              </w:rPr>
              <w:t xml:space="preserve"> </w:t>
            </w:r>
            <w:r w:rsidRPr="009E1094">
              <w:rPr>
                <w:sz w:val="18"/>
                <w:szCs w:val="18"/>
                <w:lang w:val="en-GB"/>
              </w:rPr>
              <w:t>clays (TVB: 1-1.5); rhyodacitic</w:t>
            </w:r>
            <w:r w:rsidRPr="009E1094">
              <w:rPr>
                <w:spacing w:val="-8"/>
                <w:sz w:val="18"/>
                <w:szCs w:val="18"/>
                <w:lang w:val="en-GB"/>
              </w:rPr>
              <w:t xml:space="preserve"> </w:t>
            </w:r>
            <w:r w:rsidRPr="009E1094">
              <w:rPr>
                <w:sz w:val="18"/>
                <w:szCs w:val="18"/>
                <w:lang w:val="en-GB"/>
              </w:rPr>
              <w:t>tuff (TVB: 0.5-1.5)</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tc>
        <w:tc>
          <w:tcPr>
            <w:tcW w:w="1134" w:type="dxa"/>
            <w:gridSpan w:val="3"/>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5"/>
              <w:rPr>
                <w:sz w:val="17"/>
                <w:szCs w:val="17"/>
                <w:lang w:val="en-GB"/>
              </w:rPr>
            </w:pPr>
          </w:p>
          <w:p w:rsidR="000F6F08" w:rsidRDefault="000F6F08" w:rsidP="00E706B5">
            <w:pPr>
              <w:pStyle w:val="TableParagraph"/>
              <w:kinsoku w:val="0"/>
              <w:overflowPunct w:val="0"/>
              <w:ind w:left="76"/>
            </w:pPr>
            <w:r>
              <w:rPr>
                <w:sz w:val="18"/>
                <w:szCs w:val="18"/>
              </w:rPr>
              <w:t>Volcanic</w:t>
            </w:r>
            <w:r>
              <w:rPr>
                <w:spacing w:val="-2"/>
                <w:sz w:val="18"/>
                <w:szCs w:val="18"/>
              </w:rPr>
              <w:t xml:space="preserve"> </w:t>
            </w:r>
            <w:r>
              <w:rPr>
                <w:sz w:val="18"/>
                <w:szCs w:val="18"/>
              </w:rPr>
              <w:t>arc</w:t>
            </w:r>
          </w:p>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jc w:val="center"/>
            </w:pPr>
            <w:r>
              <w:rPr>
                <w:sz w:val="18"/>
                <w:szCs w:val="18"/>
              </w:rPr>
              <w:t>[7]</w:t>
            </w:r>
          </w:p>
        </w:tc>
      </w:tr>
      <w:tr w:rsidR="000F6F08" w:rsidTr="0072057D">
        <w:trPr>
          <w:trHeight w:hRule="exact" w:val="838"/>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220"/>
            </w:pPr>
            <w:r>
              <w:rPr>
                <w:sz w:val="18"/>
                <w:szCs w:val="18"/>
              </w:rPr>
              <w:t>Sicily/</w:t>
            </w:r>
            <w:r>
              <w:rPr>
                <w:spacing w:val="-3"/>
                <w:sz w:val="18"/>
                <w:szCs w:val="18"/>
              </w:rPr>
              <w:t xml:space="preserve"> </w:t>
            </w:r>
            <w:r>
              <w:rPr>
                <w:sz w:val="18"/>
                <w:szCs w:val="18"/>
              </w:rPr>
              <w:t>12</w:t>
            </w:r>
          </w:p>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203" w:right="204" w:firstLine="196"/>
            </w:pPr>
            <w:r>
              <w:rPr>
                <w:sz w:val="18"/>
                <w:szCs w:val="18"/>
              </w:rPr>
              <w:t>mixed successions</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83" w:right="72" w:hanging="12"/>
            </w:pPr>
            <w:r>
              <w:rPr>
                <w:sz w:val="18"/>
                <w:szCs w:val="18"/>
              </w:rPr>
              <w:t>late</w:t>
            </w:r>
            <w:r>
              <w:rPr>
                <w:spacing w:val="-2"/>
                <w:sz w:val="18"/>
                <w:szCs w:val="18"/>
              </w:rPr>
              <w:t xml:space="preserve"> </w:t>
            </w:r>
            <w:r>
              <w:rPr>
                <w:sz w:val="18"/>
                <w:szCs w:val="18"/>
              </w:rPr>
              <w:t>Aquitanian early</w:t>
            </w:r>
            <w:r>
              <w:rPr>
                <w:spacing w:val="-5"/>
                <w:sz w:val="18"/>
                <w:szCs w:val="18"/>
              </w:rPr>
              <w:t xml:space="preserve"> </w:t>
            </w:r>
            <w:r>
              <w:rPr>
                <w:sz w:val="18"/>
                <w:szCs w:val="18"/>
              </w:rPr>
              <w:t>Burdigal.</w:t>
            </w:r>
          </w:p>
        </w:tc>
        <w:tc>
          <w:tcPr>
            <w:tcW w:w="1559"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122" w:right="71" w:hanging="51"/>
            </w:pPr>
            <w:r>
              <w:rPr>
                <w:sz w:val="18"/>
                <w:szCs w:val="18"/>
              </w:rPr>
              <w:t>rhyolite,</w:t>
            </w:r>
            <w:r>
              <w:rPr>
                <w:spacing w:val="-2"/>
                <w:sz w:val="18"/>
                <w:szCs w:val="18"/>
              </w:rPr>
              <w:t xml:space="preserve"> </w:t>
            </w:r>
            <w:r>
              <w:rPr>
                <w:sz w:val="18"/>
                <w:szCs w:val="18"/>
              </w:rPr>
              <w:t>andesite, basalt</w:t>
            </w:r>
            <w:r>
              <w:rPr>
                <w:spacing w:val="-6"/>
                <w:sz w:val="18"/>
                <w:szCs w:val="18"/>
              </w:rPr>
              <w:t xml:space="preserve"> </w:t>
            </w:r>
            <w:r>
              <w:rPr>
                <w:sz w:val="18"/>
                <w:szCs w:val="18"/>
              </w:rPr>
              <w:t>fragments</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2" w:lineRule="auto"/>
              <w:ind w:left="163" w:right="164" w:firstLine="127"/>
              <w:rPr>
                <w:lang w:val="en-GB"/>
              </w:rPr>
            </w:pPr>
            <w:r w:rsidRPr="009E1094">
              <w:rPr>
                <w:sz w:val="18"/>
                <w:szCs w:val="18"/>
                <w:lang w:val="en-GB"/>
              </w:rPr>
              <w:t>mainly lava clasts,</w:t>
            </w:r>
            <w:r w:rsidRPr="009E1094">
              <w:rPr>
                <w:spacing w:val="-7"/>
                <w:sz w:val="18"/>
                <w:szCs w:val="18"/>
                <w:lang w:val="en-GB"/>
              </w:rPr>
              <w:t xml:space="preserve"> </w:t>
            </w:r>
            <w:r w:rsidRPr="009E1094">
              <w:rPr>
                <w:sz w:val="18"/>
                <w:szCs w:val="18"/>
                <w:lang w:val="en-GB"/>
              </w:rPr>
              <w:t>grain size&gt;2 mm, SIV:43;</w:t>
            </w:r>
            <w:r w:rsidRPr="009E1094">
              <w:rPr>
                <w:spacing w:val="-8"/>
                <w:sz w:val="18"/>
                <w:szCs w:val="18"/>
                <w:lang w:val="en-GB"/>
              </w:rPr>
              <w:t xml:space="preserve"> </w:t>
            </w:r>
            <w:r w:rsidRPr="009E1094">
              <w:rPr>
                <w:sz w:val="18"/>
                <w:szCs w:val="18"/>
                <w:lang w:val="en-GB"/>
              </w:rPr>
              <w:t>TVB:1</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415" w:right="64" w:hanging="346"/>
            </w:pPr>
            <w:r>
              <w:rPr>
                <w:sz w:val="18"/>
                <w:szCs w:val="18"/>
              </w:rPr>
              <w:t>epiclastic</w:t>
            </w:r>
            <w:r>
              <w:rPr>
                <w:spacing w:val="-3"/>
                <w:sz w:val="18"/>
                <w:szCs w:val="18"/>
              </w:rPr>
              <w:t xml:space="preserve"> </w:t>
            </w:r>
            <w:r>
              <w:rPr>
                <w:sz w:val="18"/>
                <w:szCs w:val="18"/>
              </w:rPr>
              <w:t>mass-flow (turbiditic)</w:t>
            </w:r>
          </w:p>
        </w:tc>
        <w:tc>
          <w:tcPr>
            <w:tcW w:w="1134"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jc w:val="center"/>
            </w:pPr>
            <w:r>
              <w:rPr>
                <w:sz w:val="18"/>
                <w:szCs w:val="18"/>
              </w:rPr>
              <w:t>---</w:t>
            </w:r>
          </w:p>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jc w:val="center"/>
              <w:rPr>
                <w:sz w:val="18"/>
                <w:szCs w:val="18"/>
              </w:rPr>
            </w:pPr>
            <w:r>
              <w:rPr>
                <w:sz w:val="18"/>
                <w:szCs w:val="18"/>
              </w:rPr>
              <w:t>[1]</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jc w:val="center"/>
            </w:pPr>
            <w:r>
              <w:rPr>
                <w:sz w:val="18"/>
                <w:szCs w:val="18"/>
              </w:rPr>
              <w:t>[11]</w:t>
            </w:r>
          </w:p>
        </w:tc>
      </w:tr>
      <w:tr w:rsidR="000F6F08" w:rsidTr="0072057D">
        <w:trPr>
          <w:trHeight w:hRule="exact" w:val="1253"/>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177"/>
            </w:pPr>
            <w:r>
              <w:rPr>
                <w:sz w:val="18"/>
                <w:szCs w:val="18"/>
              </w:rPr>
              <w:t>Sicily/ 13*</w:t>
            </w:r>
          </w:p>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76" w:right="78"/>
              <w:jc w:val="center"/>
            </w:pPr>
            <w:r>
              <w:rPr>
                <w:sz w:val="18"/>
                <w:szCs w:val="18"/>
              </w:rPr>
              <w:t>Reitano</w:t>
            </w:r>
            <w:r>
              <w:rPr>
                <w:spacing w:val="-5"/>
                <w:sz w:val="18"/>
                <w:szCs w:val="18"/>
              </w:rPr>
              <w:t xml:space="preserve"> </w:t>
            </w:r>
            <w:r>
              <w:rPr>
                <w:sz w:val="18"/>
                <w:szCs w:val="18"/>
              </w:rPr>
              <w:t>flysch; mixed successions</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80" w:lineRule="auto"/>
              <w:ind w:left="254" w:right="254" w:firstLine="192"/>
            </w:pPr>
            <w:r>
              <w:rPr>
                <w:sz w:val="18"/>
                <w:szCs w:val="18"/>
              </w:rPr>
              <w:t>early Oligocene</w:t>
            </w:r>
          </w:p>
        </w:tc>
        <w:tc>
          <w:tcPr>
            <w:tcW w:w="1559" w:type="dxa"/>
            <w:gridSpan w:val="3"/>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93" w:right="95" w:firstLine="1"/>
              <w:jc w:val="center"/>
              <w:rPr>
                <w:lang w:val="en-GB"/>
              </w:rPr>
            </w:pPr>
            <w:r w:rsidRPr="009E1094">
              <w:rPr>
                <w:sz w:val="18"/>
                <w:szCs w:val="18"/>
                <w:lang w:val="en-GB"/>
              </w:rPr>
              <w:t>arenitic beds; andesite &amp;</w:t>
            </w:r>
            <w:r w:rsidRPr="009E1094">
              <w:rPr>
                <w:spacing w:val="-3"/>
                <w:sz w:val="18"/>
                <w:szCs w:val="18"/>
                <w:lang w:val="en-GB"/>
              </w:rPr>
              <w:t xml:space="preserve"> </w:t>
            </w:r>
            <w:r w:rsidRPr="009E1094">
              <w:rPr>
                <w:sz w:val="18"/>
                <w:szCs w:val="18"/>
                <w:lang w:val="en-GB"/>
              </w:rPr>
              <w:t>basalt fragments</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8"/>
              <w:rPr>
                <w:sz w:val="17"/>
                <w:szCs w:val="17"/>
                <w:lang w:val="en-GB"/>
              </w:rPr>
            </w:pPr>
          </w:p>
          <w:p w:rsidR="000F6F08" w:rsidRPr="009E1094" w:rsidRDefault="000F6F08" w:rsidP="00E706B5">
            <w:pPr>
              <w:pStyle w:val="TableParagraph"/>
              <w:kinsoku w:val="0"/>
              <w:overflowPunct w:val="0"/>
              <w:spacing w:line="480" w:lineRule="auto"/>
              <w:ind w:left="74" w:right="75" w:firstLine="244"/>
              <w:rPr>
                <w:lang w:val="en-GB"/>
              </w:rPr>
            </w:pPr>
            <w:r w:rsidRPr="009E1094">
              <w:rPr>
                <w:sz w:val="18"/>
                <w:szCs w:val="18"/>
                <w:lang w:val="en-GB"/>
              </w:rPr>
              <w:t>lava and mineral</w:t>
            </w:r>
            <w:r w:rsidRPr="009E1094">
              <w:rPr>
                <w:spacing w:val="-3"/>
                <w:sz w:val="18"/>
                <w:szCs w:val="18"/>
                <w:lang w:val="en-GB"/>
              </w:rPr>
              <w:t xml:space="preserve"> </w:t>
            </w:r>
            <w:r w:rsidRPr="009E1094">
              <w:rPr>
                <w:sz w:val="18"/>
                <w:szCs w:val="18"/>
                <w:lang w:val="en-GB"/>
              </w:rPr>
              <w:t>clasts, glass-shards, pumices,</w:t>
            </w:r>
            <w:r w:rsidRPr="009E1094">
              <w:rPr>
                <w:spacing w:val="-8"/>
                <w:sz w:val="18"/>
                <w:szCs w:val="18"/>
                <w:lang w:val="en-GB"/>
              </w:rPr>
              <w:t xml:space="preserve"> </w:t>
            </w:r>
            <w:r w:rsidRPr="009E1094">
              <w:rPr>
                <w:sz w:val="18"/>
                <w:szCs w:val="18"/>
                <w:lang w:val="en-GB"/>
              </w:rPr>
              <w:t>SIV:20</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spacing w:line="480" w:lineRule="auto"/>
              <w:ind w:left="415" w:right="64" w:hanging="346"/>
            </w:pPr>
            <w:r>
              <w:rPr>
                <w:sz w:val="18"/>
                <w:szCs w:val="18"/>
              </w:rPr>
              <w:t>epiclastic</w:t>
            </w:r>
            <w:r>
              <w:rPr>
                <w:spacing w:val="-3"/>
                <w:sz w:val="18"/>
                <w:szCs w:val="18"/>
              </w:rPr>
              <w:t xml:space="preserve"> </w:t>
            </w:r>
            <w:r>
              <w:rPr>
                <w:sz w:val="18"/>
                <w:szCs w:val="18"/>
              </w:rPr>
              <w:t>mass-flow (turbiditic)</w:t>
            </w:r>
          </w:p>
        </w:tc>
        <w:tc>
          <w:tcPr>
            <w:tcW w:w="1134"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jc w:val="center"/>
            </w:pPr>
            <w:r>
              <w:rPr>
                <w:sz w:val="18"/>
                <w:szCs w:val="18"/>
              </w:rPr>
              <w:t>----</w:t>
            </w:r>
          </w:p>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jc w:val="center"/>
              <w:rPr>
                <w:sz w:val="18"/>
                <w:szCs w:val="18"/>
              </w:rPr>
            </w:pPr>
            <w:r>
              <w:rPr>
                <w:sz w:val="18"/>
                <w:szCs w:val="18"/>
              </w:rPr>
              <w:t>[9]</w:t>
            </w:r>
          </w:p>
          <w:p w:rsidR="000F6F08" w:rsidRDefault="000F6F08" w:rsidP="00E706B5">
            <w:pPr>
              <w:pStyle w:val="TableParagraph"/>
              <w:kinsoku w:val="0"/>
              <w:overflowPunct w:val="0"/>
              <w:spacing w:before="11"/>
              <w:rPr>
                <w:sz w:val="17"/>
                <w:szCs w:val="17"/>
              </w:rPr>
            </w:pPr>
          </w:p>
          <w:p w:rsidR="000F6F08" w:rsidRDefault="000F6F08" w:rsidP="00E706B5">
            <w:pPr>
              <w:pStyle w:val="TableParagraph"/>
              <w:kinsoku w:val="0"/>
              <w:overflowPunct w:val="0"/>
              <w:jc w:val="center"/>
            </w:pPr>
            <w:r>
              <w:rPr>
                <w:sz w:val="18"/>
                <w:szCs w:val="18"/>
              </w:rPr>
              <w:t>[11,14]</w:t>
            </w:r>
          </w:p>
        </w:tc>
      </w:tr>
      <w:tr w:rsidR="000F6F08" w:rsidTr="0072057D">
        <w:trPr>
          <w:trHeight w:hRule="exact" w:val="1253"/>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218" w:right="215" w:firstLine="16"/>
              <w:jc w:val="both"/>
            </w:pPr>
            <w:r>
              <w:rPr>
                <w:sz w:val="18"/>
                <w:szCs w:val="18"/>
              </w:rPr>
              <w:t>Calabria- Peloritani Arc /</w:t>
            </w:r>
            <w:r>
              <w:rPr>
                <w:spacing w:val="-3"/>
                <w:sz w:val="18"/>
                <w:szCs w:val="18"/>
              </w:rPr>
              <w:t xml:space="preserve"> </w:t>
            </w:r>
            <w:r>
              <w:rPr>
                <w:sz w:val="18"/>
                <w:szCs w:val="18"/>
              </w:rPr>
              <w:t>14</w:t>
            </w:r>
          </w:p>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230" w:right="231" w:hanging="1"/>
              <w:jc w:val="center"/>
            </w:pPr>
            <w:r>
              <w:rPr>
                <w:sz w:val="18"/>
                <w:szCs w:val="18"/>
              </w:rPr>
              <w:t>Stilo-Capo d’Orlando, Paludi</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254" w:right="254" w:firstLine="192"/>
            </w:pPr>
            <w:r>
              <w:rPr>
                <w:sz w:val="18"/>
                <w:szCs w:val="18"/>
              </w:rPr>
              <w:t>early Oligocene</w:t>
            </w:r>
          </w:p>
        </w:tc>
        <w:tc>
          <w:tcPr>
            <w:tcW w:w="1559" w:type="dxa"/>
            <w:gridSpan w:val="3"/>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93" w:right="95"/>
              <w:jc w:val="center"/>
              <w:rPr>
                <w:lang w:val="en-GB"/>
              </w:rPr>
            </w:pPr>
            <w:r w:rsidRPr="009E1094">
              <w:rPr>
                <w:sz w:val="18"/>
                <w:szCs w:val="18"/>
                <w:lang w:val="en-GB"/>
              </w:rPr>
              <w:t>andesite &amp;</w:t>
            </w:r>
            <w:r w:rsidRPr="009E1094">
              <w:rPr>
                <w:spacing w:val="-3"/>
                <w:sz w:val="18"/>
                <w:szCs w:val="18"/>
                <w:lang w:val="en-GB"/>
              </w:rPr>
              <w:t xml:space="preserve"> </w:t>
            </w:r>
            <w:r w:rsidRPr="009E1094">
              <w:rPr>
                <w:sz w:val="18"/>
                <w:szCs w:val="18"/>
                <w:lang w:val="en-GB"/>
              </w:rPr>
              <w:t>basalt rock</w:t>
            </w:r>
            <w:r w:rsidRPr="009E1094">
              <w:rPr>
                <w:spacing w:val="-4"/>
                <w:sz w:val="18"/>
                <w:szCs w:val="18"/>
                <w:lang w:val="en-GB"/>
              </w:rPr>
              <w:t xml:space="preserve"> </w:t>
            </w:r>
            <w:r w:rsidRPr="009E1094">
              <w:rPr>
                <w:sz w:val="18"/>
                <w:szCs w:val="18"/>
                <w:lang w:val="en-GB"/>
              </w:rPr>
              <w:t>fragments; crystals</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ind w:left="343"/>
            </w:pPr>
            <w:r>
              <w:rPr>
                <w:sz w:val="18"/>
                <w:szCs w:val="18"/>
              </w:rPr>
              <w:t>lava and mineral</w:t>
            </w:r>
            <w:r>
              <w:rPr>
                <w:spacing w:val="-10"/>
                <w:sz w:val="18"/>
                <w:szCs w:val="18"/>
              </w:rPr>
              <w:t xml:space="preserve"> </w:t>
            </w:r>
            <w:r>
              <w:rPr>
                <w:sz w:val="18"/>
                <w:szCs w:val="18"/>
              </w:rPr>
              <w:t>clasts</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415" w:right="64" w:hanging="346"/>
            </w:pPr>
            <w:r>
              <w:rPr>
                <w:sz w:val="18"/>
                <w:szCs w:val="18"/>
              </w:rPr>
              <w:t>epiclastic</w:t>
            </w:r>
            <w:r>
              <w:rPr>
                <w:spacing w:val="-3"/>
                <w:sz w:val="18"/>
                <w:szCs w:val="18"/>
              </w:rPr>
              <w:t xml:space="preserve"> </w:t>
            </w:r>
            <w:r>
              <w:rPr>
                <w:sz w:val="18"/>
                <w:szCs w:val="18"/>
              </w:rPr>
              <w:t>mass-flow (turbiditic)</w:t>
            </w:r>
          </w:p>
        </w:tc>
        <w:tc>
          <w:tcPr>
            <w:tcW w:w="1134"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328" w:right="253" w:hanging="75"/>
            </w:pPr>
            <w:r>
              <w:rPr>
                <w:sz w:val="18"/>
                <w:szCs w:val="18"/>
              </w:rPr>
              <w:t>Internal zones</w:t>
            </w:r>
          </w:p>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jc w:val="center"/>
              <w:rPr>
                <w:sz w:val="18"/>
                <w:szCs w:val="18"/>
              </w:rPr>
            </w:pPr>
            <w:r>
              <w:rPr>
                <w:sz w:val="18"/>
                <w:szCs w:val="18"/>
              </w:rPr>
              <w:t>[1]</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jc w:val="center"/>
            </w:pPr>
            <w:r>
              <w:rPr>
                <w:sz w:val="18"/>
                <w:szCs w:val="18"/>
              </w:rPr>
              <w:t>[2]</w:t>
            </w:r>
          </w:p>
        </w:tc>
      </w:tr>
      <w:tr w:rsidR="000F6F08" w:rsidTr="0072057D">
        <w:trPr>
          <w:trHeight w:hRule="exact" w:val="1666"/>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88"/>
              <w:rPr>
                <w:sz w:val="18"/>
                <w:szCs w:val="18"/>
              </w:rPr>
            </w:pPr>
            <w:r>
              <w:rPr>
                <w:sz w:val="18"/>
                <w:szCs w:val="18"/>
              </w:rPr>
              <w:t>S.</w:t>
            </w:r>
            <w:r>
              <w:rPr>
                <w:spacing w:val="-1"/>
                <w:sz w:val="18"/>
                <w:szCs w:val="18"/>
              </w:rPr>
              <w:t xml:space="preserve"> </w:t>
            </w:r>
            <w:r>
              <w:rPr>
                <w:sz w:val="18"/>
                <w:szCs w:val="18"/>
              </w:rPr>
              <w:t>Apennines</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ind w:left="2"/>
              <w:jc w:val="center"/>
            </w:pPr>
            <w:r>
              <w:rPr>
                <w:sz w:val="18"/>
                <w:szCs w:val="18"/>
              </w:rPr>
              <w:t>/</w:t>
            </w:r>
            <w:r>
              <w:rPr>
                <w:spacing w:val="1"/>
                <w:sz w:val="18"/>
                <w:szCs w:val="18"/>
              </w:rPr>
              <w:t xml:space="preserve"> </w:t>
            </w:r>
            <w:r>
              <w:rPr>
                <w:sz w:val="18"/>
                <w:szCs w:val="18"/>
              </w:rPr>
              <w:t>15</w:t>
            </w:r>
          </w:p>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263" w:right="267" w:firstLine="45"/>
              <w:jc w:val="both"/>
            </w:pPr>
            <w:r>
              <w:rPr>
                <w:sz w:val="18"/>
                <w:szCs w:val="18"/>
              </w:rPr>
              <w:t>Calabro- Lucano Liguridi Complex)</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spacing w:line="482" w:lineRule="auto"/>
              <w:ind w:left="254" w:right="254" w:firstLine="240"/>
            </w:pPr>
            <w:r>
              <w:rPr>
                <w:sz w:val="18"/>
                <w:szCs w:val="18"/>
              </w:rPr>
              <w:t>late Oligocene</w:t>
            </w:r>
          </w:p>
        </w:tc>
        <w:tc>
          <w:tcPr>
            <w:tcW w:w="1559"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0" w:lineRule="auto"/>
              <w:ind w:left="333" w:right="140" w:hanging="192"/>
            </w:pPr>
            <w:r>
              <w:rPr>
                <w:sz w:val="18"/>
                <w:szCs w:val="18"/>
              </w:rPr>
              <w:t>andesite,</w:t>
            </w:r>
            <w:r>
              <w:rPr>
                <w:spacing w:val="-2"/>
                <w:sz w:val="18"/>
                <w:szCs w:val="18"/>
              </w:rPr>
              <w:t xml:space="preserve"> </w:t>
            </w:r>
            <w:r>
              <w:rPr>
                <w:sz w:val="18"/>
                <w:szCs w:val="18"/>
              </w:rPr>
              <w:t>basalt, rhyodacite fragments</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6"/>
              <w:rPr>
                <w:sz w:val="17"/>
                <w:szCs w:val="17"/>
                <w:lang w:val="en-GB"/>
              </w:rPr>
            </w:pPr>
          </w:p>
          <w:p w:rsidR="000F6F08" w:rsidRPr="009E1094" w:rsidRDefault="000F6F08" w:rsidP="00E706B5">
            <w:pPr>
              <w:pStyle w:val="TableParagraph"/>
              <w:kinsoku w:val="0"/>
              <w:overflowPunct w:val="0"/>
              <w:spacing w:line="480" w:lineRule="auto"/>
              <w:ind w:left="218" w:right="214" w:firstLine="72"/>
              <w:rPr>
                <w:lang w:val="en-GB"/>
              </w:rPr>
            </w:pPr>
            <w:r w:rsidRPr="009E1094">
              <w:rPr>
                <w:sz w:val="18"/>
                <w:szCs w:val="18"/>
                <w:lang w:val="en-GB"/>
              </w:rPr>
              <w:t>Lava and mineral</w:t>
            </w:r>
            <w:r w:rsidRPr="009E1094">
              <w:rPr>
                <w:spacing w:val="-6"/>
                <w:sz w:val="18"/>
                <w:szCs w:val="18"/>
                <w:lang w:val="en-GB"/>
              </w:rPr>
              <w:t xml:space="preserve"> </w:t>
            </w:r>
            <w:r w:rsidRPr="009E1094">
              <w:rPr>
                <w:sz w:val="18"/>
                <w:szCs w:val="18"/>
                <w:lang w:val="en-GB"/>
              </w:rPr>
              <w:t>clasts, glass-shards (andesite,</w:t>
            </w:r>
            <w:r w:rsidRPr="009E1094">
              <w:rPr>
                <w:spacing w:val="-3"/>
                <w:sz w:val="18"/>
                <w:szCs w:val="18"/>
                <w:lang w:val="en-GB"/>
              </w:rPr>
              <w:t xml:space="preserve"> </w:t>
            </w:r>
            <w:r w:rsidRPr="009E1094">
              <w:rPr>
                <w:sz w:val="18"/>
                <w:szCs w:val="18"/>
                <w:lang w:val="en-GB"/>
              </w:rPr>
              <w:t>qz- andesite</w:t>
            </w:r>
            <w:r w:rsidRPr="009E1094">
              <w:rPr>
                <w:spacing w:val="-6"/>
                <w:sz w:val="18"/>
                <w:szCs w:val="18"/>
                <w:lang w:val="en-GB"/>
              </w:rPr>
              <w:t xml:space="preserve"> </w:t>
            </w:r>
            <w:r w:rsidRPr="009E1094">
              <w:rPr>
                <w:sz w:val="18"/>
                <w:szCs w:val="18"/>
                <w:lang w:val="en-GB"/>
              </w:rPr>
              <w:t>tuffites),TVB:1.5</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5"/>
              <w:rPr>
                <w:sz w:val="17"/>
                <w:szCs w:val="17"/>
                <w:lang w:val="en-GB"/>
              </w:rPr>
            </w:pPr>
          </w:p>
          <w:p w:rsidR="000F6F08" w:rsidRDefault="000F6F08" w:rsidP="00E706B5">
            <w:pPr>
              <w:pStyle w:val="TableParagraph"/>
              <w:kinsoku w:val="0"/>
              <w:overflowPunct w:val="0"/>
              <w:spacing w:line="482" w:lineRule="auto"/>
              <w:ind w:left="415" w:right="64" w:hanging="346"/>
            </w:pPr>
            <w:r>
              <w:rPr>
                <w:sz w:val="18"/>
                <w:szCs w:val="18"/>
              </w:rPr>
              <w:t>epiclastic</w:t>
            </w:r>
            <w:r>
              <w:rPr>
                <w:spacing w:val="-3"/>
                <w:sz w:val="18"/>
                <w:szCs w:val="18"/>
              </w:rPr>
              <w:t xml:space="preserve"> </w:t>
            </w:r>
            <w:r>
              <w:rPr>
                <w:sz w:val="18"/>
                <w:szCs w:val="18"/>
              </w:rPr>
              <w:t>mass-flow (turbiditic)</w:t>
            </w:r>
          </w:p>
        </w:tc>
        <w:tc>
          <w:tcPr>
            <w:tcW w:w="1134"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spacing w:line="482" w:lineRule="auto"/>
              <w:ind w:left="98" w:right="95" w:firstLine="196"/>
            </w:pPr>
            <w:r>
              <w:rPr>
                <w:sz w:val="18"/>
                <w:szCs w:val="18"/>
              </w:rPr>
              <w:t>Active volcanic</w:t>
            </w:r>
            <w:r>
              <w:rPr>
                <w:spacing w:val="-2"/>
                <w:sz w:val="18"/>
                <w:szCs w:val="18"/>
              </w:rPr>
              <w:t xml:space="preserve"> </w:t>
            </w:r>
            <w:r>
              <w:rPr>
                <w:sz w:val="18"/>
                <w:szCs w:val="18"/>
              </w:rPr>
              <w:t>arc</w:t>
            </w:r>
          </w:p>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204"/>
            </w:pPr>
            <w:r>
              <w:rPr>
                <w:sz w:val="18"/>
                <w:szCs w:val="18"/>
              </w:rPr>
              <w:t>[15]</w:t>
            </w:r>
          </w:p>
        </w:tc>
      </w:tr>
      <w:tr w:rsidR="000F6F08" w:rsidTr="0072057D">
        <w:trPr>
          <w:trHeight w:hRule="exact" w:val="1251"/>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ind w:left="88"/>
              <w:rPr>
                <w:sz w:val="18"/>
                <w:szCs w:val="18"/>
              </w:rPr>
            </w:pPr>
            <w:r>
              <w:rPr>
                <w:sz w:val="18"/>
                <w:szCs w:val="18"/>
              </w:rPr>
              <w:t>S.</w:t>
            </w:r>
            <w:r>
              <w:rPr>
                <w:spacing w:val="-1"/>
                <w:sz w:val="18"/>
                <w:szCs w:val="18"/>
              </w:rPr>
              <w:t xml:space="preserve"> </w:t>
            </w:r>
            <w:r>
              <w:rPr>
                <w:sz w:val="18"/>
                <w:szCs w:val="18"/>
              </w:rPr>
              <w:t>Apennines</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ind w:left="2"/>
              <w:jc w:val="center"/>
            </w:pPr>
            <w:r>
              <w:rPr>
                <w:sz w:val="18"/>
                <w:szCs w:val="18"/>
              </w:rPr>
              <w:t>/</w:t>
            </w:r>
            <w:r>
              <w:rPr>
                <w:spacing w:val="1"/>
                <w:sz w:val="18"/>
                <w:szCs w:val="18"/>
              </w:rPr>
              <w:t xml:space="preserve"> </w:t>
            </w:r>
            <w:r>
              <w:rPr>
                <w:sz w:val="18"/>
                <w:szCs w:val="18"/>
              </w:rPr>
              <w:t>16</w:t>
            </w:r>
          </w:p>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263" w:right="267" w:firstLine="31"/>
              <w:jc w:val="both"/>
            </w:pPr>
            <w:r>
              <w:rPr>
                <w:sz w:val="18"/>
                <w:szCs w:val="18"/>
              </w:rPr>
              <w:t>Saraceno (Liguridi Complex)</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309" w:right="307" w:firstLine="134"/>
            </w:pPr>
            <w:r>
              <w:rPr>
                <w:sz w:val="18"/>
                <w:szCs w:val="18"/>
              </w:rPr>
              <w:t>early Miocene</w:t>
            </w:r>
          </w:p>
        </w:tc>
        <w:tc>
          <w:tcPr>
            <w:tcW w:w="1559" w:type="dxa"/>
            <w:gridSpan w:val="3"/>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88" w:right="89"/>
              <w:jc w:val="center"/>
              <w:rPr>
                <w:lang w:val="en-GB"/>
              </w:rPr>
            </w:pPr>
            <w:r w:rsidRPr="009E1094">
              <w:rPr>
                <w:sz w:val="18"/>
                <w:szCs w:val="18"/>
                <w:lang w:val="en-GB"/>
              </w:rPr>
              <w:t>andesite to</w:t>
            </w:r>
            <w:r w:rsidRPr="009E1094">
              <w:rPr>
                <w:spacing w:val="-2"/>
                <w:sz w:val="18"/>
                <w:szCs w:val="18"/>
                <w:lang w:val="en-GB"/>
              </w:rPr>
              <w:t xml:space="preserve"> </w:t>
            </w:r>
            <w:r w:rsidRPr="009E1094">
              <w:rPr>
                <w:sz w:val="18"/>
                <w:szCs w:val="18"/>
                <w:lang w:val="en-GB"/>
              </w:rPr>
              <w:t>dacite fragments; mineral</w:t>
            </w:r>
            <w:r w:rsidRPr="009E1094">
              <w:rPr>
                <w:spacing w:val="-7"/>
                <w:sz w:val="18"/>
                <w:szCs w:val="18"/>
                <w:lang w:val="en-GB"/>
              </w:rPr>
              <w:t xml:space="preserve"> </w:t>
            </w:r>
            <w:r w:rsidRPr="009E1094">
              <w:rPr>
                <w:sz w:val="18"/>
                <w:szCs w:val="18"/>
                <w:lang w:val="en-GB"/>
              </w:rPr>
              <w:t>clasts</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6"/>
              <w:rPr>
                <w:sz w:val="17"/>
                <w:szCs w:val="17"/>
                <w:lang w:val="en-GB"/>
              </w:rPr>
            </w:pPr>
          </w:p>
          <w:p w:rsidR="000F6F08" w:rsidRDefault="000F6F08" w:rsidP="00E706B5">
            <w:pPr>
              <w:pStyle w:val="TableParagraph"/>
              <w:kinsoku w:val="0"/>
              <w:overflowPunct w:val="0"/>
              <w:spacing w:line="482" w:lineRule="auto"/>
              <w:ind w:left="208" w:right="213" w:firstLine="134"/>
            </w:pPr>
            <w:r>
              <w:rPr>
                <w:sz w:val="18"/>
                <w:szCs w:val="18"/>
              </w:rPr>
              <w:t>lava and mineral</w:t>
            </w:r>
            <w:r>
              <w:rPr>
                <w:spacing w:val="-5"/>
                <w:sz w:val="18"/>
                <w:szCs w:val="18"/>
              </w:rPr>
              <w:t xml:space="preserve"> </w:t>
            </w:r>
            <w:r>
              <w:rPr>
                <w:sz w:val="18"/>
                <w:szCs w:val="18"/>
              </w:rPr>
              <w:t>clasts (andesite, qz andesite</w:t>
            </w:r>
            <w:r>
              <w:rPr>
                <w:spacing w:val="-8"/>
                <w:sz w:val="18"/>
                <w:szCs w:val="18"/>
              </w:rPr>
              <w:t xml:space="preserve"> </w:t>
            </w:r>
            <w:r>
              <w:rPr>
                <w:sz w:val="18"/>
                <w:szCs w:val="18"/>
              </w:rPr>
              <w:t>tuff)</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415" w:right="64" w:hanging="346"/>
            </w:pPr>
            <w:r>
              <w:rPr>
                <w:sz w:val="18"/>
                <w:szCs w:val="18"/>
              </w:rPr>
              <w:t>epiclastic</w:t>
            </w:r>
            <w:r>
              <w:rPr>
                <w:spacing w:val="-3"/>
                <w:sz w:val="18"/>
                <w:szCs w:val="18"/>
              </w:rPr>
              <w:t xml:space="preserve"> </w:t>
            </w:r>
            <w:r>
              <w:rPr>
                <w:sz w:val="18"/>
                <w:szCs w:val="18"/>
              </w:rPr>
              <w:t>mass-flow (turbiditic)</w:t>
            </w:r>
          </w:p>
        </w:tc>
        <w:tc>
          <w:tcPr>
            <w:tcW w:w="1134"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98" w:right="95" w:firstLine="196"/>
            </w:pPr>
            <w:r>
              <w:rPr>
                <w:sz w:val="18"/>
                <w:szCs w:val="18"/>
              </w:rPr>
              <w:t>Active volcanic</w:t>
            </w:r>
            <w:r>
              <w:rPr>
                <w:spacing w:val="-2"/>
                <w:sz w:val="18"/>
                <w:szCs w:val="18"/>
              </w:rPr>
              <w:t xml:space="preserve"> </w:t>
            </w:r>
            <w:r>
              <w:rPr>
                <w:sz w:val="18"/>
                <w:szCs w:val="18"/>
              </w:rPr>
              <w:t>arc</w:t>
            </w:r>
          </w:p>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jc w:val="center"/>
              <w:rPr>
                <w:sz w:val="18"/>
                <w:szCs w:val="18"/>
              </w:rPr>
            </w:pPr>
            <w:r>
              <w:rPr>
                <w:sz w:val="18"/>
                <w:szCs w:val="18"/>
              </w:rPr>
              <w:t>[1]</w:t>
            </w:r>
          </w:p>
          <w:p w:rsidR="000F6F08" w:rsidRDefault="000F6F08" w:rsidP="00E706B5">
            <w:pPr>
              <w:pStyle w:val="TableParagraph"/>
              <w:kinsoku w:val="0"/>
              <w:overflowPunct w:val="0"/>
              <w:spacing w:before="11"/>
              <w:rPr>
                <w:sz w:val="17"/>
                <w:szCs w:val="17"/>
              </w:rPr>
            </w:pPr>
          </w:p>
          <w:p w:rsidR="000F6F08" w:rsidRDefault="000F6F08" w:rsidP="00E706B5">
            <w:pPr>
              <w:pStyle w:val="TableParagraph"/>
              <w:kinsoku w:val="0"/>
              <w:overflowPunct w:val="0"/>
              <w:jc w:val="center"/>
              <w:rPr>
                <w:sz w:val="18"/>
                <w:szCs w:val="18"/>
              </w:rPr>
            </w:pPr>
            <w:r>
              <w:rPr>
                <w:sz w:val="18"/>
                <w:szCs w:val="18"/>
              </w:rPr>
              <w:t>[2]</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jc w:val="center"/>
            </w:pPr>
            <w:r>
              <w:rPr>
                <w:sz w:val="18"/>
                <w:szCs w:val="18"/>
              </w:rPr>
              <w:t>[3]</w:t>
            </w:r>
          </w:p>
        </w:tc>
      </w:tr>
      <w:tr w:rsidR="000F6F08" w:rsidTr="0072057D">
        <w:trPr>
          <w:trHeight w:hRule="exact" w:val="1666"/>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88"/>
              <w:rPr>
                <w:sz w:val="18"/>
                <w:szCs w:val="18"/>
              </w:rPr>
            </w:pPr>
            <w:r>
              <w:rPr>
                <w:sz w:val="18"/>
                <w:szCs w:val="18"/>
              </w:rPr>
              <w:t>S.</w:t>
            </w:r>
            <w:r>
              <w:rPr>
                <w:spacing w:val="-1"/>
                <w:sz w:val="18"/>
                <w:szCs w:val="18"/>
              </w:rPr>
              <w:t xml:space="preserve"> </w:t>
            </w:r>
            <w:r>
              <w:rPr>
                <w:sz w:val="18"/>
                <w:szCs w:val="18"/>
              </w:rPr>
              <w:t>Apennines</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left="2"/>
              <w:jc w:val="center"/>
            </w:pPr>
            <w:r>
              <w:rPr>
                <w:sz w:val="18"/>
                <w:szCs w:val="18"/>
              </w:rPr>
              <w:t>/</w:t>
            </w:r>
            <w:r>
              <w:rPr>
                <w:spacing w:val="1"/>
                <w:sz w:val="18"/>
                <w:szCs w:val="18"/>
              </w:rPr>
              <w:t xml:space="preserve"> </w:t>
            </w:r>
            <w:r>
              <w:rPr>
                <w:sz w:val="18"/>
                <w:szCs w:val="18"/>
              </w:rPr>
              <w:t>17</w:t>
            </w:r>
          </w:p>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44" w:right="142"/>
              <w:jc w:val="center"/>
            </w:pPr>
            <w:r>
              <w:rPr>
                <w:sz w:val="18"/>
                <w:szCs w:val="18"/>
              </w:rPr>
              <w:t>Tusa</w:t>
            </w:r>
            <w:r>
              <w:rPr>
                <w:spacing w:val="-5"/>
                <w:sz w:val="18"/>
                <w:szCs w:val="18"/>
              </w:rPr>
              <w:t xml:space="preserve"> </w:t>
            </w:r>
            <w:r>
              <w:rPr>
                <w:sz w:val="18"/>
                <w:szCs w:val="18"/>
              </w:rPr>
              <w:t>Tuffites complex (Sicilide Complex)</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77" w:lineRule="auto"/>
              <w:ind w:left="254" w:right="254" w:firstLine="192"/>
            </w:pPr>
            <w:r>
              <w:rPr>
                <w:sz w:val="18"/>
                <w:szCs w:val="18"/>
              </w:rPr>
              <w:t>early Oligocene</w:t>
            </w:r>
          </w:p>
        </w:tc>
        <w:tc>
          <w:tcPr>
            <w:tcW w:w="1559"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77" w:lineRule="auto"/>
              <w:ind w:left="117" w:right="118" w:firstLine="24"/>
            </w:pPr>
            <w:r>
              <w:rPr>
                <w:sz w:val="18"/>
                <w:szCs w:val="18"/>
              </w:rPr>
              <w:t>andesite,</w:t>
            </w:r>
            <w:r>
              <w:rPr>
                <w:spacing w:val="-2"/>
                <w:sz w:val="18"/>
                <w:szCs w:val="18"/>
              </w:rPr>
              <w:t xml:space="preserve"> </w:t>
            </w:r>
            <w:r>
              <w:rPr>
                <w:sz w:val="18"/>
                <w:szCs w:val="18"/>
              </w:rPr>
              <w:t>basalt, dacite</w:t>
            </w:r>
            <w:r>
              <w:rPr>
                <w:spacing w:val="-7"/>
                <w:sz w:val="18"/>
                <w:szCs w:val="18"/>
              </w:rPr>
              <w:t xml:space="preserve"> </w:t>
            </w:r>
            <w:r>
              <w:rPr>
                <w:sz w:val="18"/>
                <w:szCs w:val="18"/>
              </w:rPr>
              <w:t>fragments</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69" w:right="68" w:hanging="3"/>
              <w:jc w:val="center"/>
              <w:rPr>
                <w:lang w:val="en-GB"/>
              </w:rPr>
            </w:pPr>
            <w:r w:rsidRPr="009E1094">
              <w:rPr>
                <w:sz w:val="18"/>
                <w:szCs w:val="18"/>
                <w:lang w:val="en-GB"/>
              </w:rPr>
              <w:t>lava and mineral</w:t>
            </w:r>
            <w:r w:rsidRPr="009E1094">
              <w:rPr>
                <w:spacing w:val="-3"/>
                <w:sz w:val="18"/>
                <w:szCs w:val="18"/>
                <w:lang w:val="en-GB"/>
              </w:rPr>
              <w:t xml:space="preserve"> </w:t>
            </w:r>
            <w:r w:rsidRPr="009E1094">
              <w:rPr>
                <w:sz w:val="18"/>
                <w:szCs w:val="18"/>
                <w:lang w:val="en-GB"/>
              </w:rPr>
              <w:t>clasts (80%vol.), pelites</w:t>
            </w:r>
            <w:r w:rsidRPr="009E1094">
              <w:rPr>
                <w:spacing w:val="-4"/>
                <w:sz w:val="18"/>
                <w:szCs w:val="18"/>
                <w:lang w:val="en-GB"/>
              </w:rPr>
              <w:t xml:space="preserve"> </w:t>
            </w:r>
            <w:r w:rsidRPr="009E1094">
              <w:rPr>
                <w:sz w:val="18"/>
                <w:szCs w:val="18"/>
                <w:lang w:val="en-GB"/>
              </w:rPr>
              <w:t>with pumices,</w:t>
            </w:r>
            <w:r w:rsidRPr="009E1094">
              <w:rPr>
                <w:spacing w:val="-6"/>
                <w:sz w:val="18"/>
                <w:szCs w:val="18"/>
                <w:lang w:val="en-GB"/>
              </w:rPr>
              <w:t xml:space="preserve"> </w:t>
            </w:r>
            <w:r w:rsidRPr="009E1094">
              <w:rPr>
                <w:sz w:val="18"/>
                <w:szCs w:val="18"/>
                <w:lang w:val="en-GB"/>
              </w:rPr>
              <w:t>glass-shards;SIV:54; VTT:46;TVB:5</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8"/>
              <w:rPr>
                <w:sz w:val="17"/>
                <w:szCs w:val="17"/>
                <w:lang w:val="en-GB"/>
              </w:rPr>
            </w:pPr>
          </w:p>
          <w:p w:rsidR="000F6F08" w:rsidRPr="009E1094" w:rsidRDefault="000F6F08" w:rsidP="00E706B5">
            <w:pPr>
              <w:pStyle w:val="TableParagraph"/>
              <w:kinsoku w:val="0"/>
              <w:overflowPunct w:val="0"/>
              <w:spacing w:line="480" w:lineRule="auto"/>
              <w:ind w:left="69" w:right="64"/>
              <w:jc w:val="center"/>
              <w:rPr>
                <w:lang w:val="en-GB"/>
              </w:rPr>
            </w:pPr>
            <w:r w:rsidRPr="009E1094">
              <w:rPr>
                <w:sz w:val="18"/>
                <w:szCs w:val="18"/>
                <w:lang w:val="en-GB"/>
              </w:rPr>
              <w:t>epiclastic</w:t>
            </w:r>
            <w:r w:rsidRPr="009E1094">
              <w:rPr>
                <w:spacing w:val="-4"/>
                <w:sz w:val="18"/>
                <w:szCs w:val="18"/>
                <w:lang w:val="en-GB"/>
              </w:rPr>
              <w:t xml:space="preserve"> </w:t>
            </w:r>
            <w:r w:rsidRPr="009E1094">
              <w:rPr>
                <w:sz w:val="18"/>
                <w:szCs w:val="18"/>
                <w:lang w:val="en-GB"/>
              </w:rPr>
              <w:t>mass-flow (turbiditic) and</w:t>
            </w:r>
            <w:r w:rsidRPr="009E1094">
              <w:rPr>
                <w:spacing w:val="-1"/>
                <w:sz w:val="18"/>
                <w:szCs w:val="18"/>
                <w:lang w:val="en-GB"/>
              </w:rPr>
              <w:t xml:space="preserve"> </w:t>
            </w:r>
            <w:r w:rsidRPr="009E1094">
              <w:rPr>
                <w:sz w:val="18"/>
                <w:szCs w:val="18"/>
                <w:lang w:val="en-GB"/>
              </w:rPr>
              <w:t>ash turbidites</w:t>
            </w:r>
          </w:p>
        </w:tc>
        <w:tc>
          <w:tcPr>
            <w:tcW w:w="1134" w:type="dxa"/>
            <w:gridSpan w:val="3"/>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7"/>
              <w:rPr>
                <w:sz w:val="17"/>
                <w:szCs w:val="17"/>
                <w:lang w:val="en-GB"/>
              </w:rPr>
            </w:pPr>
          </w:p>
          <w:p w:rsidR="000F6F08" w:rsidRDefault="000F6F08" w:rsidP="00E706B5">
            <w:pPr>
              <w:pStyle w:val="TableParagraph"/>
              <w:kinsoku w:val="0"/>
              <w:overflowPunct w:val="0"/>
              <w:ind w:left="235"/>
            </w:pPr>
            <w:r>
              <w:rPr>
                <w:sz w:val="18"/>
                <w:szCs w:val="18"/>
              </w:rPr>
              <w:t>Sardinia</w:t>
            </w:r>
          </w:p>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204"/>
              <w:rPr>
                <w:sz w:val="18"/>
                <w:szCs w:val="18"/>
              </w:rPr>
            </w:pPr>
            <w:r>
              <w:rPr>
                <w:sz w:val="18"/>
                <w:szCs w:val="18"/>
              </w:rPr>
              <w:t>[11]</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left="235"/>
              <w:rPr>
                <w:sz w:val="18"/>
                <w:szCs w:val="18"/>
              </w:rPr>
            </w:pPr>
            <w:r>
              <w:rPr>
                <w:sz w:val="18"/>
                <w:szCs w:val="18"/>
              </w:rPr>
              <w:t>[13</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ind w:left="160"/>
            </w:pPr>
            <w:r>
              <w:rPr>
                <w:sz w:val="18"/>
                <w:szCs w:val="18"/>
              </w:rPr>
              <w:t>[2,</w:t>
            </w:r>
            <w:r>
              <w:rPr>
                <w:spacing w:val="-3"/>
                <w:sz w:val="18"/>
                <w:szCs w:val="18"/>
              </w:rPr>
              <w:t xml:space="preserve"> </w:t>
            </w:r>
            <w:r>
              <w:rPr>
                <w:sz w:val="18"/>
                <w:szCs w:val="18"/>
              </w:rPr>
              <w:t>3]</w:t>
            </w:r>
          </w:p>
        </w:tc>
      </w:tr>
      <w:tr w:rsidR="000F6F08" w:rsidTr="0072057D">
        <w:trPr>
          <w:trHeight w:hRule="exact" w:val="1669"/>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88"/>
              <w:rPr>
                <w:sz w:val="18"/>
                <w:szCs w:val="18"/>
              </w:rPr>
            </w:pPr>
            <w:r>
              <w:rPr>
                <w:sz w:val="18"/>
                <w:szCs w:val="18"/>
              </w:rPr>
              <w:t>S.</w:t>
            </w:r>
            <w:r>
              <w:rPr>
                <w:spacing w:val="-1"/>
                <w:sz w:val="18"/>
                <w:szCs w:val="18"/>
              </w:rPr>
              <w:t xml:space="preserve"> </w:t>
            </w:r>
            <w:r>
              <w:rPr>
                <w:sz w:val="18"/>
                <w:szCs w:val="18"/>
              </w:rPr>
              <w:t>Apennines</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ind w:left="2"/>
              <w:jc w:val="center"/>
            </w:pPr>
            <w:r>
              <w:rPr>
                <w:sz w:val="18"/>
                <w:szCs w:val="18"/>
              </w:rPr>
              <w:t>/</w:t>
            </w:r>
            <w:r>
              <w:rPr>
                <w:spacing w:val="1"/>
                <w:sz w:val="18"/>
                <w:szCs w:val="18"/>
              </w:rPr>
              <w:t xml:space="preserve"> </w:t>
            </w:r>
            <w:r>
              <w:rPr>
                <w:sz w:val="18"/>
                <w:szCs w:val="18"/>
              </w:rPr>
              <w:t>18</w:t>
            </w:r>
          </w:p>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82" w:lineRule="auto"/>
              <w:ind w:left="383" w:right="265" w:hanging="120"/>
            </w:pPr>
            <w:r>
              <w:rPr>
                <w:sz w:val="18"/>
                <w:szCs w:val="18"/>
              </w:rPr>
              <w:t>Numidian Flysch</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77" w:lineRule="auto"/>
              <w:ind w:left="170" w:right="166" w:hanging="4"/>
              <w:jc w:val="center"/>
              <w:rPr>
                <w:sz w:val="18"/>
                <w:szCs w:val="18"/>
              </w:rPr>
            </w:pPr>
            <w:r>
              <w:rPr>
                <w:sz w:val="18"/>
                <w:szCs w:val="18"/>
              </w:rPr>
              <w:t>late Burdigalian-</w:t>
            </w:r>
          </w:p>
          <w:p w:rsidR="000F6F08" w:rsidRDefault="000F6F08" w:rsidP="00E706B5">
            <w:pPr>
              <w:pStyle w:val="TableParagraph"/>
              <w:kinsoku w:val="0"/>
              <w:overflowPunct w:val="0"/>
              <w:spacing w:before="11" w:line="480" w:lineRule="auto"/>
              <w:ind w:left="285" w:right="285" w:firstLine="2"/>
              <w:jc w:val="center"/>
            </w:pPr>
            <w:r>
              <w:rPr>
                <w:sz w:val="18"/>
                <w:szCs w:val="18"/>
              </w:rPr>
              <w:t>-early Langhian</w:t>
            </w:r>
          </w:p>
        </w:tc>
        <w:tc>
          <w:tcPr>
            <w:tcW w:w="1559"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7"/>
              <w:rPr>
                <w:sz w:val="17"/>
                <w:szCs w:val="17"/>
              </w:rPr>
            </w:pPr>
          </w:p>
          <w:p w:rsidR="000F6F08" w:rsidRDefault="000F6F08" w:rsidP="00E706B5">
            <w:pPr>
              <w:pStyle w:val="TableParagraph"/>
              <w:kinsoku w:val="0"/>
              <w:overflowPunct w:val="0"/>
              <w:ind w:left="434"/>
            </w:pPr>
            <w:r>
              <w:rPr>
                <w:sz w:val="18"/>
                <w:szCs w:val="18"/>
              </w:rPr>
              <w:t>rhyolite</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Pr="009E1094" w:rsidRDefault="000F6F08" w:rsidP="00E706B5">
            <w:pPr>
              <w:pStyle w:val="TableParagraph"/>
              <w:kinsoku w:val="0"/>
              <w:overflowPunct w:val="0"/>
              <w:spacing w:line="482" w:lineRule="auto"/>
              <w:ind w:left="446" w:right="141" w:hanging="308"/>
              <w:rPr>
                <w:lang w:val="en-GB"/>
              </w:rPr>
            </w:pPr>
            <w:r w:rsidRPr="009E1094">
              <w:rPr>
                <w:sz w:val="18"/>
                <w:szCs w:val="18"/>
                <w:lang w:val="en-GB"/>
              </w:rPr>
              <w:t>glass-shards, mineral</w:t>
            </w:r>
            <w:r w:rsidRPr="009E1094">
              <w:rPr>
                <w:spacing w:val="-8"/>
                <w:sz w:val="18"/>
                <w:szCs w:val="18"/>
                <w:lang w:val="en-GB"/>
              </w:rPr>
              <w:t xml:space="preserve"> </w:t>
            </w:r>
            <w:r w:rsidRPr="009E1094">
              <w:rPr>
                <w:sz w:val="18"/>
                <w:szCs w:val="18"/>
                <w:lang w:val="en-GB"/>
              </w:rPr>
              <w:t>grains, pumices, lava</w:t>
            </w:r>
            <w:r w:rsidRPr="009E1094">
              <w:rPr>
                <w:spacing w:val="-7"/>
                <w:sz w:val="18"/>
                <w:szCs w:val="18"/>
                <w:lang w:val="en-GB"/>
              </w:rPr>
              <w:t xml:space="preserve"> </w:t>
            </w:r>
            <w:r w:rsidRPr="009E1094">
              <w:rPr>
                <w:sz w:val="18"/>
                <w:szCs w:val="18"/>
                <w:lang w:val="en-GB"/>
              </w:rPr>
              <w:t>clasts</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7"/>
              <w:rPr>
                <w:sz w:val="17"/>
                <w:szCs w:val="17"/>
                <w:lang w:val="en-GB"/>
              </w:rPr>
            </w:pPr>
          </w:p>
          <w:p w:rsidR="000F6F08" w:rsidRDefault="000F6F08" w:rsidP="00E706B5">
            <w:pPr>
              <w:pStyle w:val="TableParagraph"/>
              <w:kinsoku w:val="0"/>
              <w:overflowPunct w:val="0"/>
              <w:ind w:left="146"/>
            </w:pPr>
            <w:r>
              <w:rPr>
                <w:sz w:val="18"/>
                <w:szCs w:val="18"/>
              </w:rPr>
              <w:t>Pyroclastic</w:t>
            </w:r>
            <w:r>
              <w:rPr>
                <w:spacing w:val="-6"/>
                <w:sz w:val="18"/>
                <w:szCs w:val="18"/>
              </w:rPr>
              <w:t xml:space="preserve"> </w:t>
            </w:r>
            <w:r>
              <w:rPr>
                <w:sz w:val="18"/>
                <w:szCs w:val="18"/>
              </w:rPr>
              <w:t>fallout</w:t>
            </w:r>
          </w:p>
        </w:tc>
        <w:tc>
          <w:tcPr>
            <w:tcW w:w="1134"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7"/>
              <w:rPr>
                <w:sz w:val="17"/>
                <w:szCs w:val="17"/>
              </w:rPr>
            </w:pPr>
          </w:p>
          <w:p w:rsidR="000F6F08" w:rsidRDefault="000F6F08" w:rsidP="00E706B5">
            <w:pPr>
              <w:pStyle w:val="TableParagraph"/>
              <w:kinsoku w:val="0"/>
              <w:overflowPunct w:val="0"/>
              <w:ind w:left="235"/>
            </w:pPr>
            <w:r>
              <w:rPr>
                <w:sz w:val="18"/>
                <w:szCs w:val="18"/>
              </w:rPr>
              <w:t>Sardinia</w:t>
            </w:r>
          </w:p>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7"/>
              <w:rPr>
                <w:sz w:val="17"/>
                <w:szCs w:val="17"/>
              </w:rPr>
            </w:pPr>
          </w:p>
          <w:p w:rsidR="000F6F08" w:rsidRDefault="000F6F08" w:rsidP="00E706B5">
            <w:pPr>
              <w:pStyle w:val="TableParagraph"/>
              <w:kinsoku w:val="0"/>
              <w:overflowPunct w:val="0"/>
              <w:ind w:left="204"/>
            </w:pPr>
            <w:r>
              <w:rPr>
                <w:sz w:val="18"/>
                <w:szCs w:val="18"/>
              </w:rPr>
              <w:t>[11]</w:t>
            </w:r>
          </w:p>
        </w:tc>
      </w:tr>
      <w:tr w:rsidR="000F6F08" w:rsidTr="0072057D">
        <w:trPr>
          <w:trHeight w:hRule="exact" w:val="1250"/>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ind w:left="88"/>
              <w:rPr>
                <w:sz w:val="18"/>
                <w:szCs w:val="18"/>
              </w:rPr>
            </w:pPr>
            <w:r>
              <w:rPr>
                <w:sz w:val="18"/>
                <w:szCs w:val="18"/>
              </w:rPr>
              <w:t>S.</w:t>
            </w:r>
            <w:r>
              <w:rPr>
                <w:spacing w:val="-1"/>
                <w:sz w:val="18"/>
                <w:szCs w:val="18"/>
              </w:rPr>
              <w:t xml:space="preserve"> </w:t>
            </w:r>
            <w:r>
              <w:rPr>
                <w:sz w:val="18"/>
                <w:szCs w:val="18"/>
              </w:rPr>
              <w:t>Apennines</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left="2"/>
              <w:jc w:val="center"/>
            </w:pPr>
            <w:r>
              <w:rPr>
                <w:sz w:val="18"/>
                <w:szCs w:val="18"/>
              </w:rPr>
              <w:t>/</w:t>
            </w:r>
            <w:r>
              <w:rPr>
                <w:spacing w:val="1"/>
                <w:sz w:val="18"/>
                <w:szCs w:val="18"/>
              </w:rPr>
              <w:t xml:space="preserve"> </w:t>
            </w:r>
            <w:r>
              <w:rPr>
                <w:sz w:val="18"/>
                <w:szCs w:val="18"/>
              </w:rPr>
              <w:t>19</w:t>
            </w:r>
          </w:p>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328" w:right="328" w:firstLine="45"/>
              <w:jc w:val="both"/>
            </w:pPr>
            <w:r>
              <w:rPr>
                <w:sz w:val="18"/>
                <w:szCs w:val="18"/>
              </w:rPr>
              <w:t>Pollica (Cilento Group)</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170"/>
            </w:pPr>
            <w:r>
              <w:rPr>
                <w:sz w:val="18"/>
                <w:szCs w:val="18"/>
              </w:rPr>
              <w:t>Burdigalian-</w:t>
            </w:r>
          </w:p>
        </w:tc>
        <w:tc>
          <w:tcPr>
            <w:tcW w:w="1559"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77" w:lineRule="auto"/>
              <w:ind w:left="333" w:right="336" w:firstLine="79"/>
            </w:pPr>
            <w:r>
              <w:rPr>
                <w:sz w:val="18"/>
                <w:szCs w:val="18"/>
              </w:rPr>
              <w:t>rhyolite, rhyodacite</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5"/>
              <w:rPr>
                <w:sz w:val="17"/>
                <w:szCs w:val="17"/>
                <w:lang w:val="en-GB"/>
              </w:rPr>
            </w:pPr>
          </w:p>
          <w:p w:rsidR="000F6F08" w:rsidRPr="009E1094" w:rsidRDefault="000F6F08" w:rsidP="00E706B5">
            <w:pPr>
              <w:pStyle w:val="TableParagraph"/>
              <w:kinsoku w:val="0"/>
              <w:overflowPunct w:val="0"/>
              <w:ind w:left="170"/>
              <w:rPr>
                <w:lang w:val="en-GB"/>
              </w:rPr>
            </w:pPr>
            <w:r w:rsidRPr="009E1094">
              <w:rPr>
                <w:sz w:val="18"/>
                <w:szCs w:val="18"/>
                <w:lang w:val="en-GB"/>
              </w:rPr>
              <w:t>lava and tuff clasts, TVB:</w:t>
            </w:r>
            <w:r w:rsidRPr="009E1094">
              <w:rPr>
                <w:spacing w:val="-6"/>
                <w:sz w:val="18"/>
                <w:szCs w:val="18"/>
                <w:lang w:val="en-GB"/>
              </w:rPr>
              <w:t xml:space="preserve"> </w:t>
            </w:r>
            <w:r w:rsidRPr="009E1094">
              <w:rPr>
                <w:sz w:val="18"/>
                <w:szCs w:val="18"/>
                <w:lang w:val="en-GB"/>
              </w:rPr>
              <w:t>3</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6"/>
              <w:rPr>
                <w:sz w:val="17"/>
                <w:szCs w:val="17"/>
                <w:lang w:val="en-GB"/>
              </w:rPr>
            </w:pPr>
          </w:p>
          <w:p w:rsidR="000F6F08" w:rsidRDefault="000F6F08" w:rsidP="00E706B5">
            <w:pPr>
              <w:pStyle w:val="TableParagraph"/>
              <w:kinsoku w:val="0"/>
              <w:overflowPunct w:val="0"/>
              <w:spacing w:line="477" w:lineRule="auto"/>
              <w:ind w:left="415" w:right="64" w:hanging="346"/>
            </w:pPr>
            <w:r>
              <w:rPr>
                <w:sz w:val="18"/>
                <w:szCs w:val="18"/>
              </w:rPr>
              <w:t>epiclastic</w:t>
            </w:r>
            <w:r>
              <w:rPr>
                <w:spacing w:val="-3"/>
                <w:sz w:val="18"/>
                <w:szCs w:val="18"/>
              </w:rPr>
              <w:t xml:space="preserve"> </w:t>
            </w:r>
            <w:r>
              <w:rPr>
                <w:sz w:val="18"/>
                <w:szCs w:val="18"/>
              </w:rPr>
              <w:t>mass-flow (turbiditic)</w:t>
            </w:r>
          </w:p>
        </w:tc>
        <w:tc>
          <w:tcPr>
            <w:tcW w:w="1134"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235"/>
            </w:pPr>
            <w:r>
              <w:rPr>
                <w:sz w:val="18"/>
                <w:szCs w:val="18"/>
              </w:rPr>
              <w:t>Sardinia</w:t>
            </w:r>
          </w:p>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120"/>
            </w:pPr>
            <w:r>
              <w:rPr>
                <w:sz w:val="18"/>
                <w:szCs w:val="18"/>
              </w:rPr>
              <w:t>[6,</w:t>
            </w:r>
            <w:r>
              <w:rPr>
                <w:spacing w:val="-1"/>
                <w:sz w:val="18"/>
                <w:szCs w:val="18"/>
              </w:rPr>
              <w:t xml:space="preserve"> </w:t>
            </w:r>
            <w:r>
              <w:rPr>
                <w:sz w:val="18"/>
                <w:szCs w:val="18"/>
              </w:rPr>
              <w:t>6a]</w:t>
            </w:r>
          </w:p>
        </w:tc>
      </w:tr>
      <w:tr w:rsidR="000F6F08" w:rsidTr="0072057D">
        <w:trPr>
          <w:trHeight w:hRule="exact" w:val="425"/>
        </w:trPr>
        <w:tc>
          <w:tcPr>
            <w:tcW w:w="1418"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88"/>
            </w:pPr>
            <w:r>
              <w:rPr>
                <w:sz w:val="18"/>
                <w:szCs w:val="18"/>
              </w:rPr>
              <w:t>S.</w:t>
            </w:r>
            <w:r>
              <w:rPr>
                <w:spacing w:val="-1"/>
                <w:sz w:val="18"/>
                <w:szCs w:val="18"/>
              </w:rPr>
              <w:t xml:space="preserve"> </w:t>
            </w:r>
            <w:r>
              <w:rPr>
                <w:sz w:val="18"/>
                <w:szCs w:val="18"/>
              </w:rPr>
              <w:t>Apennines</w:t>
            </w:r>
          </w:p>
        </w:tc>
        <w:tc>
          <w:tcPr>
            <w:tcW w:w="1276" w:type="dxa"/>
            <w:gridSpan w:val="2"/>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201"/>
            </w:pPr>
            <w:r>
              <w:rPr>
                <w:sz w:val="18"/>
                <w:szCs w:val="18"/>
              </w:rPr>
              <w:t>San</w:t>
            </w:r>
            <w:r>
              <w:rPr>
                <w:spacing w:val="-2"/>
                <w:sz w:val="18"/>
                <w:szCs w:val="18"/>
              </w:rPr>
              <w:t xml:space="preserve"> </w:t>
            </w:r>
            <w:r>
              <w:rPr>
                <w:sz w:val="18"/>
                <w:szCs w:val="18"/>
              </w:rPr>
              <w:t>Mauro/</w:t>
            </w:r>
          </w:p>
        </w:tc>
        <w:tc>
          <w:tcPr>
            <w:tcW w:w="1134"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199"/>
            </w:pPr>
            <w:r>
              <w:rPr>
                <w:sz w:val="18"/>
                <w:szCs w:val="18"/>
              </w:rPr>
              <w:t>Burdigalian</w:t>
            </w:r>
          </w:p>
        </w:tc>
        <w:tc>
          <w:tcPr>
            <w:tcW w:w="1559"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412"/>
            </w:pPr>
            <w:r>
              <w:rPr>
                <w:sz w:val="18"/>
                <w:szCs w:val="18"/>
              </w:rPr>
              <w:t>rhyolite,</w:t>
            </w:r>
          </w:p>
        </w:tc>
        <w:tc>
          <w:tcPr>
            <w:tcW w:w="2268" w:type="dxa"/>
            <w:gridSpan w:val="2"/>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202" w:lineRule="exact"/>
              <w:ind w:left="124"/>
              <w:rPr>
                <w:lang w:val="en-GB"/>
              </w:rPr>
            </w:pPr>
            <w:r w:rsidRPr="009E1094">
              <w:rPr>
                <w:sz w:val="18"/>
                <w:szCs w:val="18"/>
                <w:lang w:val="en-GB"/>
              </w:rPr>
              <w:t>lava and mineral clasts;</w:t>
            </w:r>
            <w:r w:rsidRPr="009E1094">
              <w:rPr>
                <w:spacing w:val="-8"/>
                <w:sz w:val="18"/>
                <w:szCs w:val="18"/>
                <w:lang w:val="en-GB"/>
              </w:rPr>
              <w:t xml:space="preserve"> </w:t>
            </w:r>
            <w:r w:rsidRPr="009E1094">
              <w:rPr>
                <w:sz w:val="18"/>
                <w:szCs w:val="18"/>
                <w:lang w:val="en-GB"/>
              </w:rPr>
              <w:t>SIV:</w:t>
            </w:r>
          </w:p>
        </w:tc>
        <w:tc>
          <w:tcPr>
            <w:tcW w:w="1701" w:type="dxa"/>
            <w:gridSpan w:val="4"/>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196"/>
            </w:pPr>
            <w:r>
              <w:rPr>
                <w:sz w:val="18"/>
                <w:szCs w:val="18"/>
              </w:rPr>
              <w:t>mass-flow</w:t>
            </w:r>
            <w:r>
              <w:rPr>
                <w:spacing w:val="-4"/>
                <w:sz w:val="18"/>
                <w:szCs w:val="18"/>
              </w:rPr>
              <w:t xml:space="preserve"> </w:t>
            </w:r>
            <w:r>
              <w:rPr>
                <w:sz w:val="18"/>
                <w:szCs w:val="18"/>
              </w:rPr>
              <w:t>short-</w:t>
            </w:r>
          </w:p>
        </w:tc>
        <w:tc>
          <w:tcPr>
            <w:tcW w:w="1134" w:type="dxa"/>
            <w:gridSpan w:val="3"/>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204"/>
            </w:pPr>
            <w:r>
              <w:rPr>
                <w:sz w:val="18"/>
                <w:szCs w:val="18"/>
              </w:rPr>
              <w:t>Sardinia-</w:t>
            </w:r>
          </w:p>
        </w:tc>
        <w:tc>
          <w:tcPr>
            <w:tcW w:w="709"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204"/>
            </w:pPr>
            <w:r>
              <w:rPr>
                <w:sz w:val="18"/>
                <w:szCs w:val="18"/>
              </w:rPr>
              <w:t>[16]</w:t>
            </w:r>
          </w:p>
        </w:tc>
      </w:tr>
    </w:tbl>
    <w:p w:rsidR="000F6F08" w:rsidRDefault="000F6F08" w:rsidP="000F6F08">
      <w:pPr>
        <w:pStyle w:val="Corpodeltesto"/>
        <w:kinsoku w:val="0"/>
        <w:overflowPunct w:val="0"/>
        <w:spacing w:before="1"/>
        <w:rPr>
          <w:sz w:val="7"/>
          <w:szCs w:val="7"/>
        </w:rPr>
      </w:pPr>
    </w:p>
    <w:tbl>
      <w:tblPr>
        <w:tblW w:w="11199" w:type="dxa"/>
        <w:tblInd w:w="-1129" w:type="dxa"/>
        <w:tblLayout w:type="fixed"/>
        <w:tblCellMar>
          <w:left w:w="0" w:type="dxa"/>
          <w:right w:w="0" w:type="dxa"/>
        </w:tblCellMar>
        <w:tblLook w:val="0000"/>
      </w:tblPr>
      <w:tblGrid>
        <w:gridCol w:w="1372"/>
        <w:gridCol w:w="1260"/>
        <w:gridCol w:w="1260"/>
        <w:gridCol w:w="1440"/>
        <w:gridCol w:w="2341"/>
        <w:gridCol w:w="1620"/>
        <w:gridCol w:w="1080"/>
        <w:gridCol w:w="826"/>
      </w:tblGrid>
      <w:tr w:rsidR="000F6F08" w:rsidTr="00217547">
        <w:trPr>
          <w:trHeight w:hRule="exact" w:val="838"/>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2"/>
              <w:jc w:val="center"/>
            </w:pPr>
            <w:r>
              <w:rPr>
                <w:sz w:val="18"/>
                <w:szCs w:val="18"/>
              </w:rPr>
              <w:t>/</w:t>
            </w:r>
            <w:r>
              <w:rPr>
                <w:spacing w:val="2"/>
                <w:sz w:val="18"/>
                <w:szCs w:val="18"/>
              </w:rPr>
              <w:t xml:space="preserve"> </w:t>
            </w:r>
            <w:r>
              <w:rPr>
                <w:sz w:val="18"/>
                <w:szCs w:val="18"/>
              </w:rPr>
              <w:t>20*</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2" w:lineRule="auto"/>
              <w:ind w:left="299" w:right="297" w:firstLine="74"/>
            </w:pPr>
            <w:r>
              <w:rPr>
                <w:sz w:val="18"/>
                <w:szCs w:val="18"/>
              </w:rPr>
              <w:t>Pollica (Cilento)</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333"/>
            </w:pPr>
            <w:r>
              <w:rPr>
                <w:sz w:val="18"/>
                <w:szCs w:val="18"/>
              </w:rPr>
              <w:t>rhyodacite</w:t>
            </w:r>
          </w:p>
        </w:tc>
        <w:tc>
          <w:tcPr>
            <w:tcW w:w="2341"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2"/>
              <w:jc w:val="center"/>
            </w:pPr>
            <w:r>
              <w:rPr>
                <w:sz w:val="18"/>
                <w:szCs w:val="18"/>
              </w:rPr>
              <w:t>15-20</w:t>
            </w:r>
          </w:p>
        </w:tc>
        <w:tc>
          <w:tcPr>
            <w:tcW w:w="162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98"/>
            </w:pPr>
            <w:r>
              <w:rPr>
                <w:sz w:val="18"/>
                <w:szCs w:val="18"/>
              </w:rPr>
              <w:t>distance</w:t>
            </w:r>
            <w:r>
              <w:rPr>
                <w:spacing w:val="-3"/>
                <w:sz w:val="18"/>
                <w:szCs w:val="18"/>
              </w:rPr>
              <w:t xml:space="preserve"> </w:t>
            </w:r>
            <w:r>
              <w:rPr>
                <w:sz w:val="18"/>
                <w:szCs w:val="18"/>
              </w:rPr>
              <w:t>(turbiditic)</w:t>
            </w:r>
          </w:p>
        </w:tc>
        <w:tc>
          <w:tcPr>
            <w:tcW w:w="108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230"/>
            </w:pPr>
            <w:r>
              <w:rPr>
                <w:sz w:val="18"/>
                <w:szCs w:val="18"/>
              </w:rPr>
              <w:t>-Corsica</w:t>
            </w:r>
          </w:p>
        </w:tc>
        <w:tc>
          <w:tcPr>
            <w:tcW w:w="826"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204"/>
            </w:pPr>
            <w:r>
              <w:rPr>
                <w:sz w:val="18"/>
                <w:szCs w:val="18"/>
              </w:rPr>
              <w:t>[11]</w:t>
            </w:r>
          </w:p>
        </w:tc>
      </w:tr>
      <w:tr w:rsidR="000F6F08" w:rsidTr="00217547">
        <w:trPr>
          <w:trHeight w:hRule="exact" w:val="1253"/>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9"/>
              <w:rPr>
                <w:sz w:val="17"/>
                <w:szCs w:val="17"/>
              </w:rPr>
            </w:pPr>
          </w:p>
          <w:p w:rsidR="000F6F08" w:rsidRDefault="000F6F08" w:rsidP="00E706B5">
            <w:pPr>
              <w:pStyle w:val="TableParagraph"/>
              <w:kinsoku w:val="0"/>
              <w:overflowPunct w:val="0"/>
              <w:ind w:left="88"/>
              <w:rPr>
                <w:sz w:val="18"/>
                <w:szCs w:val="18"/>
              </w:rPr>
            </w:pPr>
            <w:r>
              <w:rPr>
                <w:sz w:val="18"/>
                <w:szCs w:val="18"/>
              </w:rPr>
              <w:t>S.</w:t>
            </w:r>
            <w:r>
              <w:rPr>
                <w:spacing w:val="-1"/>
                <w:sz w:val="18"/>
                <w:szCs w:val="18"/>
              </w:rPr>
              <w:t xml:space="preserve"> </w:t>
            </w:r>
            <w:r>
              <w:rPr>
                <w:sz w:val="18"/>
                <w:szCs w:val="18"/>
              </w:rPr>
              <w:t>Apennines</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left="2"/>
              <w:jc w:val="center"/>
            </w:pPr>
            <w:r>
              <w:rPr>
                <w:sz w:val="18"/>
                <w:szCs w:val="18"/>
              </w:rPr>
              <w:t>/</w:t>
            </w:r>
            <w:r>
              <w:rPr>
                <w:spacing w:val="1"/>
                <w:sz w:val="18"/>
                <w:szCs w:val="18"/>
              </w:rPr>
              <w:t xml:space="preserve"> </w:t>
            </w:r>
            <w:r>
              <w:rPr>
                <w:sz w:val="18"/>
                <w:szCs w:val="18"/>
              </w:rPr>
              <w:t>21</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75" w:right="172"/>
              <w:jc w:val="center"/>
            </w:pPr>
            <w:r>
              <w:rPr>
                <w:sz w:val="18"/>
                <w:szCs w:val="18"/>
              </w:rPr>
              <w:t>Mt.</w:t>
            </w:r>
            <w:r>
              <w:rPr>
                <w:spacing w:val="-2"/>
                <w:sz w:val="18"/>
                <w:szCs w:val="18"/>
              </w:rPr>
              <w:t xml:space="preserve"> </w:t>
            </w:r>
            <w:r>
              <w:rPr>
                <w:sz w:val="18"/>
                <w:szCs w:val="18"/>
              </w:rPr>
              <w:t>Soprano (Daunia Complex)</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9"/>
              <w:rPr>
                <w:sz w:val="17"/>
                <w:szCs w:val="17"/>
              </w:rPr>
            </w:pPr>
          </w:p>
          <w:p w:rsidR="000F6F08" w:rsidRDefault="000F6F08" w:rsidP="00E706B5">
            <w:pPr>
              <w:pStyle w:val="TableParagraph"/>
              <w:kinsoku w:val="0"/>
              <w:overflowPunct w:val="0"/>
              <w:spacing w:line="477" w:lineRule="auto"/>
              <w:ind w:left="199" w:right="199" w:firstLine="295"/>
            </w:pPr>
            <w:r>
              <w:rPr>
                <w:sz w:val="18"/>
                <w:szCs w:val="18"/>
              </w:rPr>
              <w:t>late Burdigalian</w:t>
            </w:r>
          </w:p>
        </w:tc>
        <w:tc>
          <w:tcPr>
            <w:tcW w:w="144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9"/>
              <w:rPr>
                <w:sz w:val="17"/>
                <w:szCs w:val="17"/>
                <w:lang w:val="en-GB"/>
              </w:rPr>
            </w:pPr>
          </w:p>
          <w:p w:rsidR="000F6F08" w:rsidRPr="009E1094" w:rsidRDefault="000F6F08" w:rsidP="00E706B5">
            <w:pPr>
              <w:pStyle w:val="TableParagraph"/>
              <w:kinsoku w:val="0"/>
              <w:overflowPunct w:val="0"/>
              <w:spacing w:line="477" w:lineRule="auto"/>
              <w:ind w:left="122" w:right="123" w:firstLine="43"/>
              <w:rPr>
                <w:lang w:val="en-GB"/>
              </w:rPr>
            </w:pPr>
            <w:r w:rsidRPr="009E1094">
              <w:rPr>
                <w:sz w:val="18"/>
                <w:szCs w:val="18"/>
                <w:lang w:val="en-GB"/>
              </w:rPr>
              <w:t>andesite and/or basalt</w:t>
            </w:r>
            <w:r w:rsidRPr="009E1094">
              <w:rPr>
                <w:spacing w:val="-6"/>
                <w:sz w:val="18"/>
                <w:szCs w:val="18"/>
                <w:lang w:val="en-GB"/>
              </w:rPr>
              <w:t xml:space="preserve"> </w:t>
            </w:r>
            <w:r w:rsidRPr="009E1094">
              <w:rPr>
                <w:sz w:val="18"/>
                <w:szCs w:val="18"/>
                <w:lang w:val="en-GB"/>
              </w:rPr>
              <w:t>fragments</w:t>
            </w:r>
          </w:p>
        </w:tc>
        <w:tc>
          <w:tcPr>
            <w:tcW w:w="2341"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9"/>
              <w:rPr>
                <w:sz w:val="17"/>
                <w:szCs w:val="17"/>
                <w:lang w:val="en-GB"/>
              </w:rPr>
            </w:pPr>
          </w:p>
          <w:p w:rsidR="000F6F08" w:rsidRPr="009E1094" w:rsidRDefault="000F6F08" w:rsidP="00E706B5">
            <w:pPr>
              <w:pStyle w:val="TableParagraph"/>
              <w:kinsoku w:val="0"/>
              <w:overflowPunct w:val="0"/>
              <w:spacing w:line="477" w:lineRule="auto"/>
              <w:ind w:left="139" w:right="139" w:firstLine="45"/>
              <w:rPr>
                <w:lang w:val="en-GB"/>
              </w:rPr>
            </w:pPr>
            <w:r w:rsidRPr="009E1094">
              <w:rPr>
                <w:sz w:val="18"/>
                <w:szCs w:val="18"/>
                <w:lang w:val="en-GB"/>
              </w:rPr>
              <w:t>3-15 % lava clasts;</w:t>
            </w:r>
            <w:r w:rsidRPr="009E1094">
              <w:rPr>
                <w:spacing w:val="-6"/>
                <w:sz w:val="18"/>
                <w:szCs w:val="18"/>
                <w:lang w:val="en-GB"/>
              </w:rPr>
              <w:t xml:space="preserve"> </w:t>
            </w:r>
            <w:r w:rsidRPr="009E1094">
              <w:rPr>
                <w:sz w:val="18"/>
                <w:szCs w:val="18"/>
                <w:lang w:val="en-GB"/>
              </w:rPr>
              <w:t>mineral grains, glass-shards; TVB:</w:t>
            </w:r>
            <w:r w:rsidRPr="009E1094">
              <w:rPr>
                <w:spacing w:val="-6"/>
                <w:sz w:val="18"/>
                <w:szCs w:val="18"/>
                <w:lang w:val="en-GB"/>
              </w:rPr>
              <w:t xml:space="preserve"> </w:t>
            </w:r>
            <w:r w:rsidRPr="009E1094">
              <w:rPr>
                <w:sz w:val="18"/>
                <w:szCs w:val="18"/>
                <w:lang w:val="en-GB"/>
              </w:rPr>
              <w:t>5</w:t>
            </w:r>
          </w:p>
        </w:tc>
        <w:tc>
          <w:tcPr>
            <w:tcW w:w="162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69" w:right="64" w:hanging="7"/>
              <w:jc w:val="center"/>
              <w:rPr>
                <w:lang w:val="en-GB"/>
              </w:rPr>
            </w:pPr>
            <w:r w:rsidRPr="009E1094">
              <w:rPr>
                <w:sz w:val="18"/>
                <w:szCs w:val="18"/>
                <w:lang w:val="en-GB"/>
              </w:rPr>
              <w:t>pyroclastic</w:t>
            </w:r>
            <w:r w:rsidRPr="009E1094">
              <w:rPr>
                <w:spacing w:val="-1"/>
                <w:sz w:val="18"/>
                <w:szCs w:val="18"/>
                <w:lang w:val="en-GB"/>
              </w:rPr>
              <w:t xml:space="preserve"> </w:t>
            </w:r>
            <w:r w:rsidRPr="009E1094">
              <w:rPr>
                <w:sz w:val="18"/>
                <w:szCs w:val="18"/>
                <w:lang w:val="en-GB"/>
              </w:rPr>
              <w:t>fall-out, epiclastic</w:t>
            </w:r>
            <w:r w:rsidRPr="009E1094">
              <w:rPr>
                <w:spacing w:val="-4"/>
                <w:sz w:val="18"/>
                <w:szCs w:val="18"/>
                <w:lang w:val="en-GB"/>
              </w:rPr>
              <w:t xml:space="preserve"> </w:t>
            </w:r>
            <w:r w:rsidRPr="009E1094">
              <w:rPr>
                <w:sz w:val="18"/>
                <w:szCs w:val="18"/>
                <w:lang w:val="en-GB"/>
              </w:rPr>
              <w:t>mass-flow (turbiditic)</w:t>
            </w:r>
          </w:p>
        </w:tc>
        <w:tc>
          <w:tcPr>
            <w:tcW w:w="108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75" w:right="171" w:hanging="5"/>
              <w:jc w:val="center"/>
            </w:pPr>
            <w:r>
              <w:rPr>
                <w:sz w:val="18"/>
                <w:szCs w:val="18"/>
              </w:rPr>
              <w:t>Volcanic Arc (Sardinia)</w:t>
            </w:r>
          </w:p>
        </w:tc>
        <w:tc>
          <w:tcPr>
            <w:tcW w:w="826"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165"/>
            </w:pPr>
            <w:r>
              <w:rPr>
                <w:sz w:val="18"/>
                <w:szCs w:val="18"/>
              </w:rPr>
              <w:t>[11a]</w:t>
            </w:r>
          </w:p>
        </w:tc>
      </w:tr>
      <w:tr w:rsidR="000F6F08" w:rsidTr="00217547">
        <w:trPr>
          <w:trHeight w:hRule="exact" w:val="1250"/>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ind w:left="88"/>
              <w:rPr>
                <w:sz w:val="18"/>
                <w:szCs w:val="18"/>
              </w:rPr>
            </w:pPr>
            <w:r>
              <w:rPr>
                <w:sz w:val="18"/>
                <w:szCs w:val="18"/>
              </w:rPr>
              <w:t>S.</w:t>
            </w:r>
            <w:r>
              <w:rPr>
                <w:spacing w:val="-1"/>
                <w:sz w:val="18"/>
                <w:szCs w:val="18"/>
              </w:rPr>
              <w:t xml:space="preserve"> </w:t>
            </w:r>
            <w:r>
              <w:rPr>
                <w:sz w:val="18"/>
                <w:szCs w:val="18"/>
              </w:rPr>
              <w:t>Apennines</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ind w:left="2"/>
              <w:jc w:val="center"/>
            </w:pPr>
            <w:r>
              <w:rPr>
                <w:sz w:val="18"/>
                <w:szCs w:val="18"/>
              </w:rPr>
              <w:t>/</w:t>
            </w:r>
            <w:r>
              <w:rPr>
                <w:spacing w:val="2"/>
                <w:sz w:val="18"/>
                <w:szCs w:val="18"/>
              </w:rPr>
              <w:t xml:space="preserve"> </w:t>
            </w:r>
            <w:r>
              <w:rPr>
                <w:sz w:val="18"/>
                <w:szCs w:val="18"/>
              </w:rPr>
              <w:t>22*</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81" w:right="82" w:firstLine="48"/>
              <w:jc w:val="both"/>
            </w:pPr>
            <w:r>
              <w:rPr>
                <w:sz w:val="18"/>
                <w:szCs w:val="18"/>
              </w:rPr>
              <w:t>Macchialupo; Gorgoglione (Daunia</w:t>
            </w:r>
            <w:r>
              <w:rPr>
                <w:spacing w:val="-3"/>
                <w:sz w:val="18"/>
                <w:szCs w:val="18"/>
              </w:rPr>
              <w:t xml:space="preserve"> </w:t>
            </w:r>
            <w:r>
              <w:rPr>
                <w:sz w:val="18"/>
                <w:szCs w:val="18"/>
              </w:rPr>
              <w:t>comp)</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127" w:right="126" w:firstLine="72"/>
            </w:pPr>
            <w:r>
              <w:rPr>
                <w:sz w:val="18"/>
                <w:szCs w:val="18"/>
              </w:rPr>
              <w:t>Burdigalian p.p.;</w:t>
            </w:r>
            <w:r>
              <w:rPr>
                <w:spacing w:val="-2"/>
                <w:sz w:val="18"/>
                <w:szCs w:val="18"/>
              </w:rPr>
              <w:t xml:space="preserve"> </w:t>
            </w:r>
            <w:r>
              <w:rPr>
                <w:sz w:val="18"/>
                <w:szCs w:val="18"/>
              </w:rPr>
              <w:t>Miocene</w:t>
            </w:r>
          </w:p>
        </w:tc>
        <w:tc>
          <w:tcPr>
            <w:tcW w:w="144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98" w:right="97" w:hanging="2"/>
              <w:jc w:val="center"/>
              <w:rPr>
                <w:lang w:val="en-GB"/>
              </w:rPr>
            </w:pPr>
            <w:r w:rsidRPr="009E1094">
              <w:rPr>
                <w:sz w:val="18"/>
                <w:szCs w:val="18"/>
                <w:lang w:val="en-GB"/>
              </w:rPr>
              <w:t>andesite and/or basalt</w:t>
            </w:r>
            <w:r w:rsidRPr="009E1094">
              <w:rPr>
                <w:spacing w:val="-6"/>
                <w:sz w:val="18"/>
                <w:szCs w:val="18"/>
                <w:lang w:val="en-GB"/>
              </w:rPr>
              <w:t xml:space="preserve"> </w:t>
            </w:r>
            <w:r w:rsidRPr="009E1094">
              <w:rPr>
                <w:sz w:val="18"/>
                <w:szCs w:val="18"/>
                <w:lang w:val="en-GB"/>
              </w:rPr>
              <w:t>fragments; rhyolite</w:t>
            </w:r>
            <w:r w:rsidRPr="009E1094">
              <w:rPr>
                <w:spacing w:val="-3"/>
                <w:sz w:val="18"/>
                <w:szCs w:val="18"/>
                <w:lang w:val="en-GB"/>
              </w:rPr>
              <w:t xml:space="preserve"> </w:t>
            </w:r>
            <w:r w:rsidRPr="009E1094">
              <w:rPr>
                <w:sz w:val="18"/>
                <w:szCs w:val="18"/>
                <w:lang w:val="en-GB"/>
              </w:rPr>
              <w:t>clasts</w:t>
            </w:r>
          </w:p>
        </w:tc>
        <w:tc>
          <w:tcPr>
            <w:tcW w:w="2341"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6"/>
              <w:rPr>
                <w:sz w:val="17"/>
                <w:szCs w:val="17"/>
                <w:lang w:val="en-GB"/>
              </w:rPr>
            </w:pPr>
          </w:p>
          <w:p w:rsidR="000F6F08" w:rsidRDefault="000F6F08" w:rsidP="00E706B5">
            <w:pPr>
              <w:pStyle w:val="TableParagraph"/>
              <w:kinsoku w:val="0"/>
              <w:overflowPunct w:val="0"/>
              <w:spacing w:line="482" w:lineRule="auto"/>
              <w:ind w:left="561" w:right="220" w:hanging="344"/>
            </w:pPr>
            <w:r>
              <w:rPr>
                <w:sz w:val="18"/>
                <w:szCs w:val="18"/>
              </w:rPr>
              <w:t>lava clasts (70-90 %</w:t>
            </w:r>
            <w:r>
              <w:rPr>
                <w:spacing w:val="-5"/>
                <w:sz w:val="18"/>
                <w:szCs w:val="18"/>
              </w:rPr>
              <w:t xml:space="preserve"> </w:t>
            </w:r>
            <w:r>
              <w:rPr>
                <w:sz w:val="18"/>
                <w:szCs w:val="18"/>
              </w:rPr>
              <w:t>vol.), SIV: 80; TVB:</w:t>
            </w:r>
            <w:r>
              <w:rPr>
                <w:spacing w:val="-5"/>
                <w:sz w:val="18"/>
                <w:szCs w:val="18"/>
              </w:rPr>
              <w:t xml:space="preserve"> </w:t>
            </w:r>
            <w:r>
              <w:rPr>
                <w:sz w:val="18"/>
                <w:szCs w:val="18"/>
              </w:rPr>
              <w:t>4</w:t>
            </w:r>
          </w:p>
        </w:tc>
        <w:tc>
          <w:tcPr>
            <w:tcW w:w="162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415" w:right="64" w:hanging="346"/>
            </w:pPr>
            <w:r>
              <w:rPr>
                <w:sz w:val="18"/>
                <w:szCs w:val="18"/>
              </w:rPr>
              <w:t>epiclastic</w:t>
            </w:r>
            <w:r>
              <w:rPr>
                <w:spacing w:val="-3"/>
                <w:sz w:val="18"/>
                <w:szCs w:val="18"/>
              </w:rPr>
              <w:t xml:space="preserve"> </w:t>
            </w:r>
            <w:r>
              <w:rPr>
                <w:sz w:val="18"/>
                <w:szCs w:val="18"/>
              </w:rPr>
              <w:t>mass-flow (turbiditic)</w:t>
            </w:r>
          </w:p>
        </w:tc>
        <w:tc>
          <w:tcPr>
            <w:tcW w:w="108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75" w:right="171" w:hanging="5"/>
              <w:jc w:val="center"/>
            </w:pPr>
            <w:r>
              <w:rPr>
                <w:sz w:val="18"/>
                <w:szCs w:val="18"/>
              </w:rPr>
              <w:t>Volcanic Arc (Sardinia)</w:t>
            </w:r>
          </w:p>
        </w:tc>
        <w:tc>
          <w:tcPr>
            <w:tcW w:w="826"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jc w:val="center"/>
              <w:rPr>
                <w:sz w:val="18"/>
                <w:szCs w:val="18"/>
              </w:rPr>
            </w:pPr>
            <w:r>
              <w:rPr>
                <w:sz w:val="18"/>
                <w:szCs w:val="18"/>
              </w:rPr>
              <w:t>[6]</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jc w:val="center"/>
            </w:pPr>
            <w:r>
              <w:rPr>
                <w:sz w:val="18"/>
                <w:szCs w:val="18"/>
              </w:rPr>
              <w:t>[8]</w:t>
            </w:r>
          </w:p>
        </w:tc>
      </w:tr>
      <w:tr w:rsidR="000F6F08" w:rsidTr="00217547">
        <w:trPr>
          <w:trHeight w:hRule="exact" w:val="1666"/>
        </w:trPr>
        <w:tc>
          <w:tcPr>
            <w:tcW w:w="1372"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117" w:right="70" w:hanging="44"/>
              <w:rPr>
                <w:sz w:val="18"/>
                <w:szCs w:val="18"/>
                <w:lang w:val="en-GB"/>
              </w:rPr>
            </w:pPr>
            <w:r w:rsidRPr="009E1094">
              <w:rPr>
                <w:sz w:val="18"/>
                <w:szCs w:val="18"/>
                <w:lang w:val="en-GB"/>
              </w:rPr>
              <w:lastRenderedPageBreak/>
              <w:t>N.</w:t>
            </w:r>
            <w:r w:rsidRPr="009E1094">
              <w:rPr>
                <w:spacing w:val="-1"/>
                <w:sz w:val="18"/>
                <w:szCs w:val="18"/>
                <w:lang w:val="en-GB"/>
              </w:rPr>
              <w:t xml:space="preserve"> </w:t>
            </w:r>
            <w:r w:rsidRPr="009E1094">
              <w:rPr>
                <w:sz w:val="18"/>
                <w:szCs w:val="18"/>
                <w:lang w:val="en-GB"/>
              </w:rPr>
              <w:t>Apennines Sub-Ligure Domain /</w:t>
            </w:r>
            <w:r w:rsidRPr="009E1094">
              <w:rPr>
                <w:spacing w:val="-3"/>
                <w:sz w:val="18"/>
                <w:szCs w:val="18"/>
                <w:lang w:val="en-GB"/>
              </w:rPr>
              <w:t xml:space="preserve"> </w:t>
            </w:r>
            <w:r w:rsidRPr="009E1094">
              <w:rPr>
                <w:sz w:val="18"/>
                <w:szCs w:val="18"/>
                <w:lang w:val="en-GB"/>
              </w:rPr>
              <w:t>23</w:t>
            </w:r>
          </w:p>
          <w:p w:rsidR="000F6F08" w:rsidRDefault="000F6F08" w:rsidP="00E706B5">
            <w:pPr>
              <w:pStyle w:val="TableParagraph"/>
              <w:kinsoku w:val="0"/>
              <w:overflowPunct w:val="0"/>
              <w:spacing w:before="6"/>
              <w:jc w:val="center"/>
            </w:pPr>
            <w:r>
              <w:rPr>
                <w:sz w:val="18"/>
                <w:szCs w:val="18"/>
              </w:rPr>
              <w:t>[*]</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82" w:lineRule="auto"/>
              <w:ind w:left="309" w:right="226" w:hanging="82"/>
            </w:pPr>
            <w:r>
              <w:rPr>
                <w:sz w:val="18"/>
                <w:szCs w:val="18"/>
              </w:rPr>
              <w:t>Val</w:t>
            </w:r>
            <w:r>
              <w:rPr>
                <w:spacing w:val="-4"/>
                <w:sz w:val="18"/>
                <w:szCs w:val="18"/>
              </w:rPr>
              <w:t xml:space="preserve"> </w:t>
            </w:r>
            <w:r>
              <w:rPr>
                <w:sz w:val="18"/>
                <w:szCs w:val="18"/>
              </w:rPr>
              <w:t>Aveto; Ranzano</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82" w:lineRule="auto"/>
              <w:ind w:left="254" w:right="254" w:firstLine="177"/>
            </w:pPr>
            <w:r>
              <w:rPr>
                <w:sz w:val="18"/>
                <w:szCs w:val="18"/>
              </w:rPr>
              <w:t>Early Oligocene</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81" w:right="81" w:firstLine="1"/>
              <w:jc w:val="center"/>
            </w:pPr>
            <w:r>
              <w:rPr>
                <w:sz w:val="18"/>
                <w:szCs w:val="18"/>
              </w:rPr>
              <w:t>basalt,</w:t>
            </w:r>
            <w:r>
              <w:rPr>
                <w:spacing w:val="-1"/>
                <w:sz w:val="18"/>
                <w:szCs w:val="18"/>
              </w:rPr>
              <w:t xml:space="preserve"> </w:t>
            </w:r>
            <w:r>
              <w:rPr>
                <w:sz w:val="18"/>
                <w:szCs w:val="18"/>
              </w:rPr>
              <w:t>andesite, dacite,</w:t>
            </w:r>
            <w:r>
              <w:rPr>
                <w:spacing w:val="-1"/>
                <w:sz w:val="18"/>
                <w:szCs w:val="18"/>
              </w:rPr>
              <w:t xml:space="preserve"> </w:t>
            </w:r>
            <w:r>
              <w:rPr>
                <w:sz w:val="18"/>
                <w:szCs w:val="18"/>
              </w:rPr>
              <w:t>dacite- rhyol.</w:t>
            </w:r>
            <w:r>
              <w:rPr>
                <w:spacing w:val="43"/>
                <w:sz w:val="18"/>
                <w:szCs w:val="18"/>
              </w:rPr>
              <w:t xml:space="preserve"> </w:t>
            </w:r>
            <w:r>
              <w:rPr>
                <w:sz w:val="18"/>
                <w:szCs w:val="18"/>
              </w:rPr>
              <w:t>ignimbrite clasts</w:t>
            </w:r>
          </w:p>
        </w:tc>
        <w:tc>
          <w:tcPr>
            <w:tcW w:w="2341"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8"/>
              <w:rPr>
                <w:sz w:val="17"/>
                <w:szCs w:val="17"/>
                <w:lang w:val="en-GB"/>
              </w:rPr>
            </w:pPr>
          </w:p>
          <w:p w:rsidR="000F6F08" w:rsidRPr="009E1094" w:rsidRDefault="000F6F08" w:rsidP="00E706B5">
            <w:pPr>
              <w:pStyle w:val="TableParagraph"/>
              <w:kinsoku w:val="0"/>
              <w:overflowPunct w:val="0"/>
              <w:ind w:right="3"/>
              <w:jc w:val="center"/>
              <w:rPr>
                <w:sz w:val="18"/>
                <w:szCs w:val="18"/>
                <w:lang w:val="en-GB"/>
              </w:rPr>
            </w:pPr>
            <w:r w:rsidRPr="009E1094">
              <w:rPr>
                <w:sz w:val="18"/>
                <w:szCs w:val="18"/>
                <w:lang w:val="en-GB"/>
              </w:rPr>
              <w:t>lava</w:t>
            </w:r>
            <w:r w:rsidRPr="009E1094">
              <w:rPr>
                <w:spacing w:val="-5"/>
                <w:sz w:val="18"/>
                <w:szCs w:val="18"/>
                <w:lang w:val="en-GB"/>
              </w:rPr>
              <w:t xml:space="preserve"> </w:t>
            </w:r>
            <w:r w:rsidRPr="009E1094">
              <w:rPr>
                <w:sz w:val="18"/>
                <w:szCs w:val="18"/>
                <w:lang w:val="en-GB"/>
              </w:rPr>
              <w:t>clasts</w:t>
            </w:r>
          </w:p>
          <w:p w:rsidR="000F6F08" w:rsidRPr="009E1094" w:rsidRDefault="000F6F08" w:rsidP="00E706B5">
            <w:pPr>
              <w:pStyle w:val="TableParagraph"/>
              <w:kinsoku w:val="0"/>
              <w:overflowPunct w:val="0"/>
              <w:spacing w:before="10"/>
              <w:rPr>
                <w:sz w:val="17"/>
                <w:szCs w:val="17"/>
                <w:lang w:val="en-GB"/>
              </w:rPr>
            </w:pPr>
          </w:p>
          <w:p w:rsidR="000F6F08" w:rsidRDefault="000F6F08" w:rsidP="00E706B5">
            <w:pPr>
              <w:pStyle w:val="TableParagraph"/>
              <w:kinsoku w:val="0"/>
              <w:overflowPunct w:val="0"/>
              <w:spacing w:line="482" w:lineRule="auto"/>
              <w:ind w:left="480" w:right="477"/>
              <w:jc w:val="center"/>
            </w:pPr>
            <w:r w:rsidRPr="009E1094">
              <w:rPr>
                <w:sz w:val="18"/>
                <w:szCs w:val="18"/>
                <w:lang w:val="en-GB"/>
              </w:rPr>
              <w:t>(up to &gt; 80 vol.</w:t>
            </w:r>
            <w:r w:rsidRPr="009E1094">
              <w:rPr>
                <w:spacing w:val="-5"/>
                <w:sz w:val="18"/>
                <w:szCs w:val="18"/>
                <w:lang w:val="en-GB"/>
              </w:rPr>
              <w:t xml:space="preserve"> </w:t>
            </w:r>
            <w:r>
              <w:rPr>
                <w:sz w:val="18"/>
                <w:szCs w:val="18"/>
              </w:rPr>
              <w:t>%) SIV:</w:t>
            </w:r>
            <w:r>
              <w:rPr>
                <w:spacing w:val="-2"/>
                <w:sz w:val="18"/>
                <w:szCs w:val="18"/>
              </w:rPr>
              <w:t xml:space="preserve"> </w:t>
            </w:r>
            <w:r>
              <w:rPr>
                <w:sz w:val="18"/>
                <w:szCs w:val="18"/>
              </w:rPr>
              <w:t>490</w:t>
            </w:r>
          </w:p>
        </w:tc>
        <w:tc>
          <w:tcPr>
            <w:tcW w:w="162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82" w:lineRule="auto"/>
              <w:ind w:left="415" w:right="64" w:hanging="346"/>
            </w:pPr>
            <w:r>
              <w:rPr>
                <w:sz w:val="18"/>
                <w:szCs w:val="18"/>
              </w:rPr>
              <w:t>epiclastic</w:t>
            </w:r>
            <w:r>
              <w:rPr>
                <w:spacing w:val="-3"/>
                <w:sz w:val="18"/>
                <w:szCs w:val="18"/>
              </w:rPr>
              <w:t xml:space="preserve"> </w:t>
            </w:r>
            <w:r>
              <w:rPr>
                <w:sz w:val="18"/>
                <w:szCs w:val="18"/>
              </w:rPr>
              <w:t>mass-flow (turbiditic)</w:t>
            </w:r>
          </w:p>
        </w:tc>
        <w:tc>
          <w:tcPr>
            <w:tcW w:w="108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8"/>
              <w:rPr>
                <w:sz w:val="17"/>
                <w:szCs w:val="17"/>
                <w:lang w:val="en-GB"/>
              </w:rPr>
            </w:pPr>
          </w:p>
          <w:p w:rsidR="000F6F08" w:rsidRPr="009E1094" w:rsidRDefault="000F6F08" w:rsidP="00E706B5">
            <w:pPr>
              <w:pStyle w:val="TableParagraph"/>
              <w:kinsoku w:val="0"/>
              <w:overflowPunct w:val="0"/>
              <w:spacing w:line="480" w:lineRule="auto"/>
              <w:ind w:left="84" w:right="83" w:hanging="1"/>
              <w:jc w:val="center"/>
              <w:rPr>
                <w:lang w:val="en-GB"/>
              </w:rPr>
            </w:pPr>
            <w:r w:rsidRPr="009E1094">
              <w:rPr>
                <w:sz w:val="18"/>
                <w:szCs w:val="18"/>
                <w:lang w:val="en-GB"/>
              </w:rPr>
              <w:t>Continental arc (near</w:t>
            </w:r>
            <w:r w:rsidRPr="009E1094">
              <w:rPr>
                <w:spacing w:val="-2"/>
                <w:sz w:val="18"/>
                <w:szCs w:val="18"/>
                <w:lang w:val="en-GB"/>
              </w:rPr>
              <w:t xml:space="preserve"> </w:t>
            </w:r>
            <w:r w:rsidRPr="009E1094">
              <w:rPr>
                <w:sz w:val="18"/>
                <w:szCs w:val="18"/>
                <w:lang w:val="en-GB"/>
              </w:rPr>
              <w:t>the graben)</w:t>
            </w:r>
          </w:p>
        </w:tc>
        <w:tc>
          <w:tcPr>
            <w:tcW w:w="826"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ind w:left="204"/>
              <w:rPr>
                <w:sz w:val="18"/>
                <w:szCs w:val="18"/>
              </w:rPr>
            </w:pPr>
            <w:r>
              <w:rPr>
                <w:sz w:val="18"/>
                <w:szCs w:val="18"/>
              </w:rPr>
              <w:t>[17]</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ind w:left="204"/>
            </w:pPr>
            <w:r>
              <w:rPr>
                <w:sz w:val="18"/>
                <w:szCs w:val="18"/>
              </w:rPr>
              <w:t>[18]</w:t>
            </w:r>
          </w:p>
        </w:tc>
      </w:tr>
      <w:tr w:rsidR="000F6F08" w:rsidTr="00217547">
        <w:trPr>
          <w:trHeight w:hRule="exact" w:val="1668"/>
        </w:trPr>
        <w:tc>
          <w:tcPr>
            <w:tcW w:w="1372"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8"/>
              <w:rPr>
                <w:sz w:val="17"/>
                <w:szCs w:val="17"/>
                <w:lang w:val="en-GB"/>
              </w:rPr>
            </w:pPr>
          </w:p>
          <w:p w:rsidR="000F6F08" w:rsidRPr="009E1094" w:rsidRDefault="000F6F08" w:rsidP="00E706B5">
            <w:pPr>
              <w:pStyle w:val="TableParagraph"/>
              <w:kinsoku w:val="0"/>
              <w:overflowPunct w:val="0"/>
              <w:spacing w:line="480" w:lineRule="auto"/>
              <w:ind w:left="74" w:right="70"/>
              <w:rPr>
                <w:lang w:val="en-GB"/>
              </w:rPr>
            </w:pPr>
            <w:r w:rsidRPr="009E1094">
              <w:rPr>
                <w:sz w:val="18"/>
                <w:szCs w:val="18"/>
                <w:lang w:val="en-GB"/>
              </w:rPr>
              <w:t>N.</w:t>
            </w:r>
            <w:r w:rsidRPr="009E1094">
              <w:rPr>
                <w:spacing w:val="-1"/>
                <w:sz w:val="18"/>
                <w:szCs w:val="18"/>
                <w:lang w:val="en-GB"/>
              </w:rPr>
              <w:t xml:space="preserve"> </w:t>
            </w:r>
            <w:r w:rsidRPr="009E1094">
              <w:rPr>
                <w:sz w:val="18"/>
                <w:szCs w:val="18"/>
                <w:lang w:val="en-GB"/>
              </w:rPr>
              <w:t>Apennines Sub-Ligure Domain /</w:t>
            </w:r>
            <w:r w:rsidRPr="009E1094">
              <w:rPr>
                <w:spacing w:val="-2"/>
                <w:sz w:val="18"/>
                <w:szCs w:val="18"/>
                <w:lang w:val="en-GB"/>
              </w:rPr>
              <w:t xml:space="preserve"> </w:t>
            </w:r>
            <w:r w:rsidRPr="009E1094">
              <w:rPr>
                <w:sz w:val="18"/>
                <w:szCs w:val="18"/>
                <w:lang w:val="en-GB"/>
              </w:rPr>
              <w:t>24*</w:t>
            </w:r>
          </w:p>
        </w:tc>
        <w:tc>
          <w:tcPr>
            <w:tcW w:w="126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spacing w:line="482" w:lineRule="auto"/>
              <w:ind w:left="309" w:right="147" w:hanging="161"/>
            </w:pPr>
            <w:r>
              <w:rPr>
                <w:sz w:val="18"/>
                <w:szCs w:val="18"/>
              </w:rPr>
              <w:t>Petrignacola; Ranzano</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80" w:lineRule="auto"/>
              <w:ind w:left="230" w:right="229" w:firstLine="4"/>
              <w:jc w:val="center"/>
            </w:pPr>
            <w:r>
              <w:rPr>
                <w:sz w:val="18"/>
                <w:szCs w:val="18"/>
              </w:rPr>
              <w:t>early Oligocene; 32-30</w:t>
            </w:r>
            <w:r>
              <w:rPr>
                <w:spacing w:val="-1"/>
                <w:sz w:val="18"/>
                <w:szCs w:val="18"/>
              </w:rPr>
              <w:t xml:space="preserve"> </w:t>
            </w:r>
            <w:r>
              <w:rPr>
                <w:sz w:val="18"/>
                <w:szCs w:val="18"/>
              </w:rPr>
              <w:t>Ma</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17" w:right="118" w:firstLine="1"/>
              <w:jc w:val="center"/>
            </w:pPr>
            <w:r>
              <w:rPr>
                <w:sz w:val="18"/>
                <w:szCs w:val="18"/>
              </w:rPr>
              <w:t>basalt,</w:t>
            </w:r>
            <w:r>
              <w:rPr>
                <w:spacing w:val="-2"/>
                <w:sz w:val="18"/>
                <w:szCs w:val="18"/>
              </w:rPr>
              <w:t xml:space="preserve"> </w:t>
            </w:r>
            <w:r>
              <w:rPr>
                <w:sz w:val="18"/>
                <w:szCs w:val="18"/>
              </w:rPr>
              <w:t>andesite, dacite; rhyodacite, ignimbrite</w:t>
            </w:r>
            <w:r>
              <w:rPr>
                <w:spacing w:val="-5"/>
                <w:sz w:val="18"/>
                <w:szCs w:val="18"/>
              </w:rPr>
              <w:t xml:space="preserve"> </w:t>
            </w:r>
            <w:r>
              <w:rPr>
                <w:sz w:val="18"/>
                <w:szCs w:val="18"/>
              </w:rPr>
              <w:t>clasts</w:t>
            </w:r>
          </w:p>
        </w:tc>
        <w:tc>
          <w:tcPr>
            <w:tcW w:w="2341"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Pr="009E1094" w:rsidRDefault="000F6F08" w:rsidP="00E706B5">
            <w:pPr>
              <w:pStyle w:val="TableParagraph"/>
              <w:kinsoku w:val="0"/>
              <w:overflowPunct w:val="0"/>
              <w:jc w:val="center"/>
              <w:rPr>
                <w:sz w:val="18"/>
                <w:szCs w:val="18"/>
                <w:lang w:val="en-GB"/>
              </w:rPr>
            </w:pPr>
            <w:r w:rsidRPr="009E1094">
              <w:rPr>
                <w:sz w:val="18"/>
                <w:szCs w:val="18"/>
                <w:lang w:val="en-GB"/>
              </w:rPr>
              <w:t>volcanic</w:t>
            </w:r>
            <w:r w:rsidRPr="009E1094">
              <w:rPr>
                <w:spacing w:val="-3"/>
                <w:sz w:val="18"/>
                <w:szCs w:val="18"/>
                <w:lang w:val="en-GB"/>
              </w:rPr>
              <w:t xml:space="preserve"> </w:t>
            </w:r>
            <w:r w:rsidRPr="009E1094">
              <w:rPr>
                <w:sz w:val="18"/>
                <w:szCs w:val="18"/>
                <w:lang w:val="en-GB"/>
              </w:rPr>
              <w:t>clasts</w:t>
            </w:r>
          </w:p>
          <w:p w:rsidR="000F6F08" w:rsidRPr="009E1094" w:rsidRDefault="000F6F08" w:rsidP="00E706B5">
            <w:pPr>
              <w:pStyle w:val="TableParagraph"/>
              <w:kinsoku w:val="0"/>
              <w:overflowPunct w:val="0"/>
              <w:spacing w:before="1"/>
              <w:rPr>
                <w:sz w:val="18"/>
                <w:szCs w:val="18"/>
                <w:lang w:val="en-GB"/>
              </w:rPr>
            </w:pPr>
          </w:p>
          <w:p w:rsidR="000F6F08" w:rsidRDefault="000F6F08" w:rsidP="00E706B5">
            <w:pPr>
              <w:pStyle w:val="TableParagraph"/>
              <w:kinsoku w:val="0"/>
              <w:overflowPunct w:val="0"/>
              <w:ind w:right="2"/>
              <w:jc w:val="center"/>
            </w:pPr>
            <w:r w:rsidRPr="009E1094">
              <w:rPr>
                <w:sz w:val="18"/>
                <w:szCs w:val="18"/>
                <w:lang w:val="en-GB"/>
              </w:rPr>
              <w:t xml:space="preserve">(up to &gt; 80 vol. </w:t>
            </w:r>
            <w:r>
              <w:rPr>
                <w:sz w:val="18"/>
                <w:szCs w:val="18"/>
              </w:rPr>
              <w:t>%); SIV:</w:t>
            </w:r>
            <w:r>
              <w:rPr>
                <w:spacing w:val="-10"/>
                <w:sz w:val="18"/>
                <w:szCs w:val="18"/>
              </w:rPr>
              <w:t xml:space="preserve"> </w:t>
            </w:r>
            <w:r>
              <w:rPr>
                <w:sz w:val="18"/>
                <w:szCs w:val="18"/>
              </w:rPr>
              <w:t>255</w:t>
            </w:r>
          </w:p>
        </w:tc>
        <w:tc>
          <w:tcPr>
            <w:tcW w:w="162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82" w:lineRule="auto"/>
              <w:ind w:left="415" w:right="64" w:hanging="346"/>
            </w:pPr>
            <w:r>
              <w:rPr>
                <w:sz w:val="18"/>
                <w:szCs w:val="18"/>
              </w:rPr>
              <w:t>epiclastic</w:t>
            </w:r>
            <w:r>
              <w:rPr>
                <w:spacing w:val="-3"/>
                <w:sz w:val="18"/>
                <w:szCs w:val="18"/>
              </w:rPr>
              <w:t xml:space="preserve"> </w:t>
            </w:r>
            <w:r>
              <w:rPr>
                <w:sz w:val="18"/>
                <w:szCs w:val="18"/>
              </w:rPr>
              <w:t>mass-flow (turbiditic)</w:t>
            </w:r>
          </w:p>
        </w:tc>
        <w:tc>
          <w:tcPr>
            <w:tcW w:w="108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8"/>
              <w:rPr>
                <w:sz w:val="17"/>
                <w:szCs w:val="17"/>
                <w:lang w:val="en-GB"/>
              </w:rPr>
            </w:pPr>
          </w:p>
          <w:p w:rsidR="000F6F08" w:rsidRPr="009E1094" w:rsidRDefault="000F6F08" w:rsidP="00E706B5">
            <w:pPr>
              <w:pStyle w:val="TableParagraph"/>
              <w:kinsoku w:val="0"/>
              <w:overflowPunct w:val="0"/>
              <w:spacing w:line="480" w:lineRule="auto"/>
              <w:ind w:left="84" w:right="84"/>
              <w:jc w:val="center"/>
              <w:rPr>
                <w:lang w:val="en-GB"/>
              </w:rPr>
            </w:pPr>
            <w:r w:rsidRPr="009E1094">
              <w:rPr>
                <w:sz w:val="18"/>
                <w:szCs w:val="18"/>
                <w:lang w:val="en-GB"/>
              </w:rPr>
              <w:t>Continental arc (near</w:t>
            </w:r>
            <w:r w:rsidRPr="009E1094">
              <w:rPr>
                <w:spacing w:val="-2"/>
                <w:sz w:val="18"/>
                <w:szCs w:val="18"/>
                <w:lang w:val="en-GB"/>
              </w:rPr>
              <w:t xml:space="preserve"> </w:t>
            </w:r>
            <w:r w:rsidRPr="009E1094">
              <w:rPr>
                <w:sz w:val="18"/>
                <w:szCs w:val="18"/>
                <w:lang w:val="en-GB"/>
              </w:rPr>
              <w:t>the graben)</w:t>
            </w:r>
          </w:p>
        </w:tc>
        <w:tc>
          <w:tcPr>
            <w:tcW w:w="826"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7"/>
              <w:rPr>
                <w:sz w:val="17"/>
                <w:szCs w:val="17"/>
                <w:lang w:val="en-GB"/>
              </w:rPr>
            </w:pPr>
          </w:p>
          <w:p w:rsidR="000F6F08" w:rsidRDefault="000F6F08" w:rsidP="00E706B5">
            <w:pPr>
              <w:pStyle w:val="TableParagraph"/>
              <w:kinsoku w:val="0"/>
              <w:overflowPunct w:val="0"/>
              <w:ind w:left="204"/>
            </w:pPr>
            <w:r>
              <w:rPr>
                <w:sz w:val="18"/>
                <w:szCs w:val="18"/>
              </w:rPr>
              <w:t>[17]</w:t>
            </w:r>
          </w:p>
        </w:tc>
      </w:tr>
      <w:tr w:rsidR="000F6F08" w:rsidTr="00217547">
        <w:trPr>
          <w:trHeight w:hRule="exact" w:val="1666"/>
        </w:trPr>
        <w:tc>
          <w:tcPr>
            <w:tcW w:w="1372"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6"/>
              <w:rPr>
                <w:sz w:val="17"/>
                <w:szCs w:val="17"/>
                <w:lang w:val="en-GB"/>
              </w:rPr>
            </w:pPr>
          </w:p>
          <w:p w:rsidR="000F6F08" w:rsidRPr="009E1094" w:rsidRDefault="000F6F08" w:rsidP="00E706B5">
            <w:pPr>
              <w:pStyle w:val="TableParagraph"/>
              <w:kinsoku w:val="0"/>
              <w:overflowPunct w:val="0"/>
              <w:spacing w:line="480" w:lineRule="auto"/>
              <w:ind w:left="74" w:right="70"/>
              <w:rPr>
                <w:lang w:val="en-GB"/>
              </w:rPr>
            </w:pPr>
            <w:r w:rsidRPr="009E1094">
              <w:rPr>
                <w:sz w:val="18"/>
                <w:szCs w:val="18"/>
                <w:lang w:val="en-GB"/>
              </w:rPr>
              <w:t>N.</w:t>
            </w:r>
            <w:r w:rsidRPr="009E1094">
              <w:rPr>
                <w:spacing w:val="-1"/>
                <w:sz w:val="18"/>
                <w:szCs w:val="18"/>
                <w:lang w:val="en-GB"/>
              </w:rPr>
              <w:t xml:space="preserve"> </w:t>
            </w:r>
            <w:r w:rsidRPr="009E1094">
              <w:rPr>
                <w:sz w:val="18"/>
                <w:szCs w:val="18"/>
                <w:lang w:val="en-GB"/>
              </w:rPr>
              <w:t>Apennines Epi-Ligure Domain /</w:t>
            </w:r>
            <w:r w:rsidRPr="009E1094">
              <w:rPr>
                <w:spacing w:val="-2"/>
                <w:sz w:val="18"/>
                <w:szCs w:val="18"/>
                <w:lang w:val="en-GB"/>
              </w:rPr>
              <w:t xml:space="preserve"> </w:t>
            </w:r>
            <w:r w:rsidRPr="009E1094">
              <w:rPr>
                <w:sz w:val="18"/>
                <w:szCs w:val="18"/>
                <w:lang w:val="en-GB"/>
              </w:rPr>
              <w:t>25*</w:t>
            </w:r>
          </w:p>
        </w:tc>
        <w:tc>
          <w:tcPr>
            <w:tcW w:w="126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6"/>
              <w:rPr>
                <w:sz w:val="17"/>
                <w:szCs w:val="17"/>
                <w:lang w:val="en-GB"/>
              </w:rPr>
            </w:pPr>
          </w:p>
          <w:p w:rsidR="000F6F08" w:rsidRDefault="000F6F08" w:rsidP="00E706B5">
            <w:pPr>
              <w:pStyle w:val="TableParagraph"/>
              <w:kinsoku w:val="0"/>
              <w:overflowPunct w:val="0"/>
              <w:spacing w:line="480" w:lineRule="auto"/>
              <w:ind w:left="179" w:right="177" w:hanging="1"/>
              <w:jc w:val="center"/>
            </w:pPr>
            <w:r>
              <w:rPr>
                <w:sz w:val="18"/>
                <w:szCs w:val="18"/>
              </w:rPr>
              <w:t>Antognola Ranzano Mongardino</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0" w:lineRule="auto"/>
              <w:ind w:left="230" w:right="229" w:firstLine="4"/>
              <w:jc w:val="center"/>
            </w:pPr>
            <w:r>
              <w:rPr>
                <w:sz w:val="18"/>
                <w:szCs w:val="18"/>
              </w:rPr>
              <w:t>early Oligocene; 32-30</w:t>
            </w:r>
            <w:r>
              <w:rPr>
                <w:spacing w:val="-1"/>
                <w:sz w:val="18"/>
                <w:szCs w:val="18"/>
              </w:rPr>
              <w:t xml:space="preserve"> </w:t>
            </w:r>
            <w:r>
              <w:rPr>
                <w:sz w:val="18"/>
                <w:szCs w:val="18"/>
              </w:rPr>
              <w:t>Ma</w:t>
            </w:r>
          </w:p>
        </w:tc>
        <w:tc>
          <w:tcPr>
            <w:tcW w:w="144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134" w:right="133"/>
              <w:jc w:val="center"/>
              <w:rPr>
                <w:lang w:val="en-GB"/>
              </w:rPr>
            </w:pPr>
            <w:r w:rsidRPr="009E1094">
              <w:rPr>
                <w:sz w:val="18"/>
                <w:szCs w:val="18"/>
                <w:lang w:val="en-GB"/>
              </w:rPr>
              <w:t>andesite,</w:t>
            </w:r>
            <w:r w:rsidRPr="009E1094">
              <w:rPr>
                <w:spacing w:val="-2"/>
                <w:sz w:val="18"/>
                <w:szCs w:val="18"/>
                <w:lang w:val="en-GB"/>
              </w:rPr>
              <w:t xml:space="preserve"> </w:t>
            </w:r>
            <w:r w:rsidRPr="009E1094">
              <w:rPr>
                <w:sz w:val="18"/>
                <w:szCs w:val="18"/>
                <w:lang w:val="en-GB"/>
              </w:rPr>
              <w:t>dacite; glass-shards (rhyolite- rhyodacite)</w:t>
            </w:r>
          </w:p>
        </w:tc>
        <w:tc>
          <w:tcPr>
            <w:tcW w:w="2341"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6"/>
              <w:rPr>
                <w:sz w:val="17"/>
                <w:szCs w:val="17"/>
                <w:lang w:val="en-GB"/>
              </w:rPr>
            </w:pPr>
          </w:p>
          <w:p w:rsidR="000F6F08" w:rsidRPr="009E1094" w:rsidRDefault="000F6F08" w:rsidP="00E706B5">
            <w:pPr>
              <w:pStyle w:val="TableParagraph"/>
              <w:kinsoku w:val="0"/>
              <w:overflowPunct w:val="0"/>
              <w:spacing w:line="477" w:lineRule="auto"/>
              <w:ind w:left="84" w:right="86"/>
              <w:jc w:val="center"/>
              <w:rPr>
                <w:sz w:val="18"/>
                <w:szCs w:val="18"/>
                <w:lang w:val="en-GB"/>
              </w:rPr>
            </w:pPr>
            <w:r w:rsidRPr="009E1094">
              <w:rPr>
                <w:sz w:val="18"/>
                <w:szCs w:val="18"/>
                <w:lang w:val="en-GB"/>
              </w:rPr>
              <w:t>lava and mineral clasts;</w:t>
            </w:r>
            <w:r w:rsidRPr="009E1094">
              <w:rPr>
                <w:spacing w:val="-9"/>
                <w:sz w:val="18"/>
                <w:szCs w:val="18"/>
                <w:lang w:val="en-GB"/>
              </w:rPr>
              <w:t xml:space="preserve"> </w:t>
            </w:r>
            <w:r w:rsidRPr="009E1094">
              <w:rPr>
                <w:sz w:val="18"/>
                <w:szCs w:val="18"/>
                <w:lang w:val="en-GB"/>
              </w:rPr>
              <w:t>glass- shards; SIV: 15; VTT:</w:t>
            </w:r>
            <w:r w:rsidRPr="009E1094">
              <w:rPr>
                <w:spacing w:val="-7"/>
                <w:sz w:val="18"/>
                <w:szCs w:val="18"/>
                <w:lang w:val="en-GB"/>
              </w:rPr>
              <w:t xml:space="preserve"> </w:t>
            </w:r>
            <w:r w:rsidRPr="009E1094">
              <w:rPr>
                <w:sz w:val="18"/>
                <w:szCs w:val="18"/>
                <w:lang w:val="en-GB"/>
              </w:rPr>
              <w:t>5;</w:t>
            </w:r>
          </w:p>
          <w:p w:rsidR="000F6F08" w:rsidRDefault="000F6F08" w:rsidP="00E706B5">
            <w:pPr>
              <w:pStyle w:val="TableParagraph"/>
              <w:kinsoku w:val="0"/>
              <w:overflowPunct w:val="0"/>
              <w:spacing w:before="11"/>
              <w:jc w:val="center"/>
            </w:pPr>
            <w:r>
              <w:rPr>
                <w:sz w:val="18"/>
                <w:szCs w:val="18"/>
              </w:rPr>
              <w:t>TVB:</w:t>
            </w:r>
            <w:r>
              <w:rPr>
                <w:spacing w:val="-1"/>
                <w:sz w:val="18"/>
                <w:szCs w:val="18"/>
              </w:rPr>
              <w:t xml:space="preserve"> </w:t>
            </w:r>
            <w:r>
              <w:rPr>
                <w:sz w:val="18"/>
                <w:szCs w:val="18"/>
              </w:rPr>
              <w:t>5</w:t>
            </w:r>
          </w:p>
        </w:tc>
        <w:tc>
          <w:tcPr>
            <w:tcW w:w="162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spacing w:line="482" w:lineRule="auto"/>
              <w:ind w:left="415" w:right="64" w:hanging="346"/>
            </w:pPr>
            <w:r>
              <w:rPr>
                <w:sz w:val="18"/>
                <w:szCs w:val="18"/>
              </w:rPr>
              <w:t>epiclastic</w:t>
            </w:r>
            <w:r>
              <w:rPr>
                <w:spacing w:val="-3"/>
                <w:sz w:val="18"/>
                <w:szCs w:val="18"/>
              </w:rPr>
              <w:t xml:space="preserve"> </w:t>
            </w:r>
            <w:r>
              <w:rPr>
                <w:sz w:val="18"/>
                <w:szCs w:val="18"/>
              </w:rPr>
              <w:t>mass-flow (turbiditic)</w:t>
            </w:r>
          </w:p>
        </w:tc>
        <w:tc>
          <w:tcPr>
            <w:tcW w:w="108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jc w:val="center"/>
            </w:pPr>
            <w:r>
              <w:rPr>
                <w:sz w:val="18"/>
                <w:szCs w:val="18"/>
              </w:rPr>
              <w:t>----</w:t>
            </w:r>
          </w:p>
        </w:tc>
        <w:tc>
          <w:tcPr>
            <w:tcW w:w="826"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jc w:val="center"/>
              <w:rPr>
                <w:sz w:val="18"/>
                <w:szCs w:val="18"/>
              </w:rPr>
            </w:pPr>
            <w:r>
              <w:rPr>
                <w:sz w:val="18"/>
                <w:szCs w:val="18"/>
              </w:rPr>
              <w:t>[19]</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jc w:val="center"/>
              <w:rPr>
                <w:sz w:val="18"/>
                <w:szCs w:val="18"/>
              </w:rPr>
            </w:pPr>
            <w:r>
              <w:rPr>
                <w:sz w:val="18"/>
                <w:szCs w:val="18"/>
              </w:rPr>
              <w:t>[20]</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jc w:val="center"/>
              <w:rPr>
                <w:sz w:val="18"/>
                <w:szCs w:val="18"/>
              </w:rPr>
            </w:pPr>
            <w:r>
              <w:rPr>
                <w:sz w:val="18"/>
                <w:szCs w:val="18"/>
              </w:rPr>
              <w:t>[1]</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jc w:val="center"/>
            </w:pPr>
            <w:r>
              <w:rPr>
                <w:sz w:val="18"/>
                <w:szCs w:val="18"/>
              </w:rPr>
              <w:t>[21]</w:t>
            </w:r>
          </w:p>
        </w:tc>
      </w:tr>
      <w:tr w:rsidR="000F6F08" w:rsidTr="00217547">
        <w:trPr>
          <w:trHeight w:hRule="exact" w:val="1666"/>
        </w:trPr>
        <w:tc>
          <w:tcPr>
            <w:tcW w:w="1372"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175" w:right="70" w:hanging="101"/>
              <w:rPr>
                <w:sz w:val="18"/>
                <w:szCs w:val="18"/>
                <w:lang w:val="en-GB"/>
              </w:rPr>
            </w:pPr>
            <w:r w:rsidRPr="009E1094">
              <w:rPr>
                <w:sz w:val="18"/>
                <w:szCs w:val="18"/>
                <w:lang w:val="en-GB"/>
              </w:rPr>
              <w:t>N.</w:t>
            </w:r>
            <w:r w:rsidRPr="009E1094">
              <w:rPr>
                <w:spacing w:val="-1"/>
                <w:sz w:val="18"/>
                <w:szCs w:val="18"/>
                <w:lang w:val="en-GB"/>
              </w:rPr>
              <w:t xml:space="preserve"> </w:t>
            </w:r>
            <w:r w:rsidRPr="009E1094">
              <w:rPr>
                <w:sz w:val="18"/>
                <w:szCs w:val="18"/>
                <w:lang w:val="en-GB"/>
              </w:rPr>
              <w:t>Apennines Epi-Ligure Domain</w:t>
            </w:r>
            <w:r w:rsidRPr="009E1094">
              <w:rPr>
                <w:spacing w:val="-4"/>
                <w:sz w:val="18"/>
                <w:szCs w:val="18"/>
                <w:lang w:val="en-GB"/>
              </w:rPr>
              <w:t xml:space="preserve"> </w:t>
            </w:r>
            <w:r w:rsidRPr="009E1094">
              <w:rPr>
                <w:sz w:val="18"/>
                <w:szCs w:val="18"/>
                <w:lang w:val="en-GB"/>
              </w:rPr>
              <w:t>/</w:t>
            </w:r>
          </w:p>
          <w:p w:rsidR="000F6F08" w:rsidRDefault="000F6F08" w:rsidP="00E706B5">
            <w:pPr>
              <w:pStyle w:val="TableParagraph"/>
              <w:kinsoku w:val="0"/>
              <w:overflowPunct w:val="0"/>
              <w:spacing w:before="6"/>
              <w:ind w:left="4"/>
              <w:jc w:val="center"/>
            </w:pPr>
            <w:r>
              <w:rPr>
                <w:sz w:val="18"/>
                <w:szCs w:val="18"/>
              </w:rPr>
              <w:t>26/*</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208" w:right="208" w:firstLine="72"/>
            </w:pPr>
            <w:r>
              <w:rPr>
                <w:sz w:val="18"/>
                <w:szCs w:val="18"/>
              </w:rPr>
              <w:t>Tripoli</w:t>
            </w:r>
            <w:r>
              <w:rPr>
                <w:spacing w:val="-1"/>
                <w:sz w:val="18"/>
                <w:szCs w:val="18"/>
              </w:rPr>
              <w:t xml:space="preserve"> </w:t>
            </w:r>
            <w:r>
              <w:rPr>
                <w:sz w:val="18"/>
                <w:szCs w:val="18"/>
              </w:rPr>
              <w:t>di Contignaco</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0" w:lineRule="auto"/>
              <w:ind w:left="141" w:right="140" w:firstLine="52"/>
              <w:jc w:val="both"/>
            </w:pPr>
            <w:r>
              <w:rPr>
                <w:sz w:val="18"/>
                <w:szCs w:val="18"/>
              </w:rPr>
              <w:t>Aquitanian- Burdigalian p.p.; 22.4</w:t>
            </w:r>
            <w:r>
              <w:rPr>
                <w:spacing w:val="-2"/>
                <w:sz w:val="18"/>
                <w:szCs w:val="18"/>
              </w:rPr>
              <w:t xml:space="preserve"> </w:t>
            </w:r>
            <w:r>
              <w:rPr>
                <w:sz w:val="18"/>
                <w:szCs w:val="18"/>
              </w:rPr>
              <w:t>Ma</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513" w:right="88" w:hanging="423"/>
            </w:pPr>
            <w:r>
              <w:rPr>
                <w:sz w:val="18"/>
                <w:szCs w:val="18"/>
              </w:rPr>
              <w:t>rhyodacite-dacite clasts</w:t>
            </w:r>
          </w:p>
        </w:tc>
        <w:tc>
          <w:tcPr>
            <w:tcW w:w="2341"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146" w:right="147" w:firstLine="74"/>
              <w:jc w:val="both"/>
              <w:rPr>
                <w:sz w:val="18"/>
                <w:szCs w:val="18"/>
                <w:lang w:val="en-GB"/>
              </w:rPr>
            </w:pPr>
            <w:r w:rsidRPr="009E1094">
              <w:rPr>
                <w:sz w:val="18"/>
                <w:szCs w:val="18"/>
                <w:lang w:val="en-GB"/>
              </w:rPr>
              <w:t>glass-shards (&lt; 90%</w:t>
            </w:r>
            <w:r w:rsidRPr="009E1094">
              <w:rPr>
                <w:spacing w:val="-3"/>
                <w:sz w:val="18"/>
                <w:szCs w:val="18"/>
                <w:lang w:val="en-GB"/>
              </w:rPr>
              <w:t xml:space="preserve"> </w:t>
            </w:r>
            <w:r w:rsidRPr="009E1094">
              <w:rPr>
                <w:sz w:val="18"/>
                <w:szCs w:val="18"/>
                <w:lang w:val="en-GB"/>
              </w:rPr>
              <w:t>vol.), mineral clasts (grain size</w:t>
            </w:r>
            <w:r w:rsidRPr="009E1094">
              <w:rPr>
                <w:spacing w:val="-6"/>
                <w:sz w:val="18"/>
                <w:szCs w:val="18"/>
                <w:lang w:val="en-GB"/>
              </w:rPr>
              <w:t xml:space="preserve"> </w:t>
            </w:r>
            <w:r w:rsidRPr="009E1094">
              <w:rPr>
                <w:sz w:val="18"/>
                <w:szCs w:val="18"/>
                <w:lang w:val="en-GB"/>
              </w:rPr>
              <w:t>&lt; 0,5 mm), SIV: 15; VTT:</w:t>
            </w:r>
            <w:r w:rsidRPr="009E1094">
              <w:rPr>
                <w:spacing w:val="-9"/>
                <w:sz w:val="18"/>
                <w:szCs w:val="18"/>
                <w:lang w:val="en-GB"/>
              </w:rPr>
              <w:t xml:space="preserve"> </w:t>
            </w:r>
            <w:r w:rsidRPr="009E1094">
              <w:rPr>
                <w:sz w:val="18"/>
                <w:szCs w:val="18"/>
                <w:lang w:val="en-GB"/>
              </w:rPr>
              <w:t>15;</w:t>
            </w:r>
          </w:p>
          <w:p w:rsidR="000F6F08" w:rsidRDefault="000F6F08" w:rsidP="00E706B5">
            <w:pPr>
              <w:pStyle w:val="TableParagraph"/>
              <w:kinsoku w:val="0"/>
              <w:overflowPunct w:val="0"/>
              <w:spacing w:before="6"/>
              <w:jc w:val="center"/>
            </w:pPr>
            <w:r>
              <w:rPr>
                <w:sz w:val="18"/>
                <w:szCs w:val="18"/>
              </w:rPr>
              <w:t>TVB: 10</w:t>
            </w:r>
          </w:p>
        </w:tc>
        <w:tc>
          <w:tcPr>
            <w:tcW w:w="162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129" w:right="130"/>
              <w:jc w:val="center"/>
              <w:rPr>
                <w:lang w:val="en-GB"/>
              </w:rPr>
            </w:pPr>
            <w:r w:rsidRPr="009E1094">
              <w:rPr>
                <w:sz w:val="18"/>
                <w:szCs w:val="18"/>
                <w:lang w:val="en-GB"/>
              </w:rPr>
              <w:t>pyroclastic</w:t>
            </w:r>
            <w:r w:rsidRPr="009E1094">
              <w:rPr>
                <w:spacing w:val="-4"/>
                <w:sz w:val="18"/>
                <w:szCs w:val="18"/>
                <w:lang w:val="en-GB"/>
              </w:rPr>
              <w:t xml:space="preserve"> </w:t>
            </w:r>
            <w:r w:rsidRPr="009E1094">
              <w:rPr>
                <w:sz w:val="18"/>
                <w:szCs w:val="18"/>
                <w:lang w:val="en-GB"/>
              </w:rPr>
              <w:t>fallout, and/or</w:t>
            </w:r>
            <w:r w:rsidRPr="009E1094">
              <w:rPr>
                <w:spacing w:val="-2"/>
                <w:sz w:val="18"/>
                <w:szCs w:val="18"/>
                <w:lang w:val="en-GB"/>
              </w:rPr>
              <w:t xml:space="preserve"> </w:t>
            </w:r>
            <w:r w:rsidRPr="009E1094">
              <w:rPr>
                <w:sz w:val="18"/>
                <w:szCs w:val="18"/>
                <w:lang w:val="en-GB"/>
              </w:rPr>
              <w:t>epiclastic mass</w:t>
            </w:r>
            <w:r w:rsidRPr="009E1094">
              <w:rPr>
                <w:spacing w:val="-2"/>
                <w:sz w:val="18"/>
                <w:szCs w:val="18"/>
                <w:lang w:val="en-GB"/>
              </w:rPr>
              <w:t xml:space="preserve"> </w:t>
            </w:r>
            <w:r w:rsidRPr="009E1094">
              <w:rPr>
                <w:sz w:val="18"/>
                <w:szCs w:val="18"/>
                <w:lang w:val="en-GB"/>
              </w:rPr>
              <w:t>-flow, hyaloclastic</w:t>
            </w:r>
          </w:p>
        </w:tc>
        <w:tc>
          <w:tcPr>
            <w:tcW w:w="108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jc w:val="center"/>
            </w:pPr>
            <w:r>
              <w:rPr>
                <w:sz w:val="18"/>
                <w:szCs w:val="18"/>
              </w:rPr>
              <w:t>----</w:t>
            </w:r>
          </w:p>
        </w:tc>
        <w:tc>
          <w:tcPr>
            <w:tcW w:w="826"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jc w:val="center"/>
              <w:rPr>
                <w:sz w:val="18"/>
                <w:szCs w:val="18"/>
              </w:rPr>
            </w:pPr>
            <w:r>
              <w:rPr>
                <w:sz w:val="18"/>
                <w:szCs w:val="18"/>
              </w:rPr>
              <w:t>[6]</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jc w:val="center"/>
              <w:rPr>
                <w:sz w:val="18"/>
                <w:szCs w:val="18"/>
              </w:rPr>
            </w:pPr>
            <w:r>
              <w:rPr>
                <w:sz w:val="18"/>
                <w:szCs w:val="18"/>
              </w:rPr>
              <w:t>[10]</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jc w:val="center"/>
            </w:pPr>
            <w:r>
              <w:rPr>
                <w:sz w:val="18"/>
                <w:szCs w:val="18"/>
              </w:rPr>
              <w:t>[22]</w:t>
            </w:r>
          </w:p>
        </w:tc>
      </w:tr>
      <w:tr w:rsidR="000F6F08" w:rsidTr="00217547">
        <w:trPr>
          <w:trHeight w:hRule="exact" w:val="1250"/>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ind w:left="74"/>
              <w:rPr>
                <w:sz w:val="18"/>
                <w:szCs w:val="18"/>
              </w:rPr>
            </w:pPr>
            <w:r>
              <w:rPr>
                <w:sz w:val="18"/>
                <w:szCs w:val="18"/>
              </w:rPr>
              <w:t>N.</w:t>
            </w:r>
            <w:r>
              <w:rPr>
                <w:spacing w:val="-1"/>
                <w:sz w:val="18"/>
                <w:szCs w:val="18"/>
              </w:rPr>
              <w:t xml:space="preserve"> </w:t>
            </w:r>
            <w:r>
              <w:rPr>
                <w:sz w:val="18"/>
                <w:szCs w:val="18"/>
              </w:rPr>
              <w:t>Apennines</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ind w:left="326"/>
            </w:pPr>
            <w:r>
              <w:rPr>
                <w:sz w:val="18"/>
                <w:szCs w:val="18"/>
              </w:rPr>
              <w:t>/</w:t>
            </w:r>
            <w:r>
              <w:rPr>
                <w:spacing w:val="-5"/>
                <w:sz w:val="18"/>
                <w:szCs w:val="18"/>
              </w:rPr>
              <w:t xml:space="preserve"> </w:t>
            </w:r>
            <w:r>
              <w:rPr>
                <w:sz w:val="18"/>
                <w:szCs w:val="18"/>
              </w:rPr>
              <w:t>27[*]</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249" w:right="249" w:hanging="2"/>
              <w:jc w:val="center"/>
            </w:pPr>
            <w:r>
              <w:rPr>
                <w:sz w:val="18"/>
                <w:szCs w:val="18"/>
              </w:rPr>
              <w:t>Bisciaro Formation (s.s.)</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5"/>
              <w:rPr>
                <w:sz w:val="17"/>
                <w:szCs w:val="17"/>
              </w:rPr>
            </w:pPr>
          </w:p>
          <w:p w:rsidR="000F6F08" w:rsidRDefault="000F6F08" w:rsidP="00E706B5">
            <w:pPr>
              <w:pStyle w:val="TableParagraph"/>
              <w:kinsoku w:val="0"/>
              <w:overflowPunct w:val="0"/>
              <w:ind w:left="199"/>
            </w:pPr>
            <w:r>
              <w:rPr>
                <w:sz w:val="18"/>
                <w:szCs w:val="18"/>
              </w:rPr>
              <w:t>Burdigalian</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6"/>
              <w:rPr>
                <w:sz w:val="17"/>
                <w:szCs w:val="17"/>
              </w:rPr>
            </w:pPr>
          </w:p>
          <w:p w:rsidR="000F6F08" w:rsidRDefault="000F6F08" w:rsidP="00E706B5">
            <w:pPr>
              <w:pStyle w:val="TableParagraph"/>
              <w:kinsoku w:val="0"/>
              <w:overflowPunct w:val="0"/>
              <w:spacing w:line="482" w:lineRule="auto"/>
              <w:ind w:left="434" w:right="349" w:hanging="82"/>
            </w:pPr>
            <w:r>
              <w:rPr>
                <w:sz w:val="18"/>
                <w:szCs w:val="18"/>
              </w:rPr>
              <w:t>andesite – rhyolite</w:t>
            </w:r>
          </w:p>
        </w:tc>
        <w:tc>
          <w:tcPr>
            <w:tcW w:w="2341"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81" w:right="80"/>
              <w:jc w:val="center"/>
              <w:rPr>
                <w:lang w:val="en-GB"/>
              </w:rPr>
            </w:pPr>
            <w:r w:rsidRPr="009E1094">
              <w:rPr>
                <w:sz w:val="18"/>
                <w:szCs w:val="18"/>
                <w:lang w:val="en-GB"/>
              </w:rPr>
              <w:t>glass-shards, mineral and</w:t>
            </w:r>
            <w:r w:rsidRPr="009E1094">
              <w:rPr>
                <w:spacing w:val="-10"/>
                <w:sz w:val="18"/>
                <w:szCs w:val="18"/>
                <w:lang w:val="en-GB"/>
              </w:rPr>
              <w:t xml:space="preserve"> </w:t>
            </w:r>
            <w:r w:rsidRPr="009E1094">
              <w:rPr>
                <w:sz w:val="18"/>
                <w:szCs w:val="18"/>
                <w:lang w:val="en-GB"/>
              </w:rPr>
              <w:t>lava clasts; SIV: &gt;100;</w:t>
            </w:r>
            <w:r w:rsidRPr="009E1094">
              <w:rPr>
                <w:spacing w:val="-6"/>
                <w:sz w:val="18"/>
                <w:szCs w:val="18"/>
                <w:lang w:val="en-GB"/>
              </w:rPr>
              <w:t xml:space="preserve"> </w:t>
            </w:r>
            <w:r w:rsidRPr="009E1094">
              <w:rPr>
                <w:sz w:val="18"/>
                <w:szCs w:val="18"/>
                <w:lang w:val="en-GB"/>
              </w:rPr>
              <w:t>VTT:18; TVB:</w:t>
            </w:r>
            <w:r w:rsidRPr="009E1094">
              <w:rPr>
                <w:spacing w:val="-2"/>
                <w:sz w:val="18"/>
                <w:szCs w:val="18"/>
                <w:lang w:val="en-GB"/>
              </w:rPr>
              <w:t xml:space="preserve"> </w:t>
            </w:r>
            <w:r w:rsidRPr="009E1094">
              <w:rPr>
                <w:sz w:val="18"/>
                <w:szCs w:val="18"/>
                <w:lang w:val="en-GB"/>
              </w:rPr>
              <w:t>6.9</w:t>
            </w:r>
          </w:p>
        </w:tc>
        <w:tc>
          <w:tcPr>
            <w:tcW w:w="162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69" w:right="64"/>
              <w:jc w:val="center"/>
              <w:rPr>
                <w:lang w:val="en-GB"/>
              </w:rPr>
            </w:pPr>
            <w:r w:rsidRPr="009E1094">
              <w:rPr>
                <w:sz w:val="18"/>
                <w:szCs w:val="18"/>
                <w:lang w:val="en-GB"/>
              </w:rPr>
              <w:t>epiclastic</w:t>
            </w:r>
            <w:r w:rsidRPr="009E1094">
              <w:rPr>
                <w:spacing w:val="-4"/>
                <w:sz w:val="18"/>
                <w:szCs w:val="18"/>
                <w:lang w:val="en-GB"/>
              </w:rPr>
              <w:t xml:space="preserve"> </w:t>
            </w:r>
            <w:r w:rsidRPr="009E1094">
              <w:rPr>
                <w:sz w:val="18"/>
                <w:szCs w:val="18"/>
                <w:lang w:val="en-GB"/>
              </w:rPr>
              <w:t>mass-flow (turbiditic)</w:t>
            </w:r>
            <w:r w:rsidRPr="009E1094">
              <w:rPr>
                <w:spacing w:val="-1"/>
                <w:sz w:val="18"/>
                <w:szCs w:val="18"/>
                <w:lang w:val="en-GB"/>
              </w:rPr>
              <w:t xml:space="preserve"> </w:t>
            </w:r>
            <w:r w:rsidRPr="009E1094">
              <w:rPr>
                <w:sz w:val="18"/>
                <w:szCs w:val="18"/>
                <w:lang w:val="en-GB"/>
              </w:rPr>
              <w:t>and pyroclastic</w:t>
            </w:r>
            <w:r w:rsidRPr="009E1094">
              <w:rPr>
                <w:spacing w:val="-4"/>
                <w:sz w:val="18"/>
                <w:szCs w:val="18"/>
                <w:lang w:val="en-GB"/>
              </w:rPr>
              <w:t xml:space="preserve"> </w:t>
            </w:r>
            <w:r w:rsidRPr="009E1094">
              <w:rPr>
                <w:sz w:val="18"/>
                <w:szCs w:val="18"/>
                <w:lang w:val="en-GB"/>
              </w:rPr>
              <w:t>fallout</w:t>
            </w:r>
          </w:p>
        </w:tc>
        <w:tc>
          <w:tcPr>
            <w:tcW w:w="108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96" w:right="97"/>
              <w:jc w:val="center"/>
              <w:rPr>
                <w:lang w:val="en-GB"/>
              </w:rPr>
            </w:pPr>
            <w:r w:rsidRPr="009E1094">
              <w:rPr>
                <w:sz w:val="18"/>
                <w:szCs w:val="18"/>
                <w:lang w:val="en-GB"/>
              </w:rPr>
              <w:t>Intern.</w:t>
            </w:r>
            <w:r w:rsidRPr="009E1094">
              <w:rPr>
                <w:spacing w:val="-3"/>
                <w:sz w:val="18"/>
                <w:szCs w:val="18"/>
                <w:lang w:val="en-GB"/>
              </w:rPr>
              <w:t xml:space="preserve"> </w:t>
            </w:r>
            <w:r w:rsidRPr="009E1094">
              <w:rPr>
                <w:sz w:val="18"/>
                <w:szCs w:val="18"/>
                <w:lang w:val="en-GB"/>
              </w:rPr>
              <w:t>volc. zone</w:t>
            </w:r>
            <w:r w:rsidRPr="009E1094">
              <w:rPr>
                <w:spacing w:val="-1"/>
                <w:sz w:val="18"/>
                <w:szCs w:val="18"/>
                <w:lang w:val="en-GB"/>
              </w:rPr>
              <w:t xml:space="preserve"> </w:t>
            </w:r>
            <w:r w:rsidRPr="009E1094">
              <w:rPr>
                <w:sz w:val="18"/>
                <w:szCs w:val="18"/>
                <w:lang w:val="en-GB"/>
              </w:rPr>
              <w:t>(near the</w:t>
            </w:r>
            <w:r w:rsidRPr="009E1094">
              <w:rPr>
                <w:spacing w:val="-2"/>
                <w:sz w:val="18"/>
                <w:szCs w:val="18"/>
                <w:lang w:val="en-GB"/>
              </w:rPr>
              <w:t xml:space="preserve"> </w:t>
            </w:r>
            <w:r w:rsidRPr="009E1094">
              <w:rPr>
                <w:sz w:val="18"/>
                <w:szCs w:val="18"/>
                <w:lang w:val="en-GB"/>
              </w:rPr>
              <w:t>graben)</w:t>
            </w:r>
          </w:p>
        </w:tc>
        <w:tc>
          <w:tcPr>
            <w:tcW w:w="826"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202" w:lineRule="exact"/>
              <w:ind w:left="122"/>
              <w:rPr>
                <w:sz w:val="18"/>
                <w:szCs w:val="18"/>
              </w:rPr>
            </w:pPr>
            <w:r>
              <w:rPr>
                <w:sz w:val="18"/>
                <w:szCs w:val="18"/>
              </w:rPr>
              <w:t>[1]</w:t>
            </w:r>
            <w:r>
              <w:rPr>
                <w:spacing w:val="-2"/>
                <w:sz w:val="18"/>
                <w:szCs w:val="18"/>
              </w:rPr>
              <w:t xml:space="preserve"> </w:t>
            </w:r>
            <w:r>
              <w:rPr>
                <w:sz w:val="18"/>
                <w:szCs w:val="18"/>
              </w:rPr>
              <w:t>[5]</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jc w:val="center"/>
              <w:rPr>
                <w:sz w:val="18"/>
                <w:szCs w:val="18"/>
              </w:rPr>
            </w:pPr>
            <w:r>
              <w:rPr>
                <w:sz w:val="18"/>
                <w:szCs w:val="18"/>
              </w:rPr>
              <w:t>[23]</w:t>
            </w:r>
          </w:p>
          <w:p w:rsidR="000F6F08" w:rsidRDefault="000F6F08" w:rsidP="00E706B5">
            <w:pPr>
              <w:pStyle w:val="TableParagraph"/>
              <w:kinsoku w:val="0"/>
              <w:overflowPunct w:val="0"/>
              <w:spacing w:before="1"/>
              <w:rPr>
                <w:sz w:val="18"/>
                <w:szCs w:val="18"/>
              </w:rPr>
            </w:pPr>
          </w:p>
          <w:p w:rsidR="000F6F08" w:rsidRDefault="000F6F08" w:rsidP="00E706B5">
            <w:pPr>
              <w:pStyle w:val="TableParagraph"/>
              <w:kinsoku w:val="0"/>
              <w:overflowPunct w:val="0"/>
              <w:ind w:right="1"/>
              <w:jc w:val="center"/>
            </w:pPr>
            <w:r>
              <w:rPr>
                <w:sz w:val="18"/>
                <w:szCs w:val="18"/>
              </w:rPr>
              <w:t>[24,</w:t>
            </w:r>
            <w:r>
              <w:rPr>
                <w:spacing w:val="-4"/>
                <w:sz w:val="18"/>
                <w:szCs w:val="18"/>
              </w:rPr>
              <w:t xml:space="preserve"> </w:t>
            </w:r>
            <w:r>
              <w:rPr>
                <w:sz w:val="18"/>
                <w:szCs w:val="18"/>
              </w:rPr>
              <w:t>25]</w:t>
            </w:r>
          </w:p>
        </w:tc>
      </w:tr>
      <w:tr w:rsidR="000F6F08" w:rsidTr="00217547">
        <w:trPr>
          <w:trHeight w:hRule="exact" w:val="1253"/>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74"/>
              <w:rPr>
                <w:sz w:val="18"/>
                <w:szCs w:val="18"/>
              </w:rPr>
            </w:pPr>
            <w:r>
              <w:rPr>
                <w:sz w:val="18"/>
                <w:szCs w:val="18"/>
              </w:rPr>
              <w:t>N.</w:t>
            </w:r>
            <w:r>
              <w:rPr>
                <w:spacing w:val="-1"/>
                <w:sz w:val="18"/>
                <w:szCs w:val="18"/>
              </w:rPr>
              <w:t xml:space="preserve"> </w:t>
            </w:r>
            <w:r>
              <w:rPr>
                <w:sz w:val="18"/>
                <w:szCs w:val="18"/>
              </w:rPr>
              <w:t>Apennines</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left="2"/>
              <w:jc w:val="center"/>
            </w:pPr>
            <w:r>
              <w:rPr>
                <w:sz w:val="18"/>
                <w:szCs w:val="18"/>
              </w:rPr>
              <w:t>/</w:t>
            </w:r>
            <w:r>
              <w:rPr>
                <w:spacing w:val="1"/>
                <w:sz w:val="18"/>
                <w:szCs w:val="18"/>
              </w:rPr>
              <w:t xml:space="preserve"> </w:t>
            </w:r>
            <w:r>
              <w:rPr>
                <w:sz w:val="18"/>
                <w:szCs w:val="18"/>
              </w:rPr>
              <w:t>28</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268"/>
            </w:pPr>
            <w:r>
              <w:rPr>
                <w:sz w:val="18"/>
                <w:szCs w:val="18"/>
              </w:rPr>
              <w:t>Cervarola</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77" w:lineRule="auto"/>
              <w:ind w:left="199" w:right="198"/>
            </w:pPr>
            <w:r>
              <w:rPr>
                <w:sz w:val="18"/>
                <w:szCs w:val="18"/>
              </w:rPr>
              <w:t>Aquitanian/ Burdigalian</w:t>
            </w:r>
          </w:p>
        </w:tc>
        <w:tc>
          <w:tcPr>
            <w:tcW w:w="144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77" w:lineRule="auto"/>
              <w:ind w:left="434" w:right="265" w:hanging="168"/>
            </w:pPr>
            <w:r>
              <w:rPr>
                <w:sz w:val="18"/>
                <w:szCs w:val="18"/>
              </w:rPr>
              <w:t>andesite and rhyolite</w:t>
            </w:r>
          </w:p>
        </w:tc>
        <w:tc>
          <w:tcPr>
            <w:tcW w:w="2341"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480" w:lineRule="auto"/>
              <w:ind w:left="132" w:right="133"/>
              <w:jc w:val="center"/>
              <w:rPr>
                <w:lang w:val="en-GB"/>
              </w:rPr>
            </w:pPr>
            <w:r w:rsidRPr="009E1094">
              <w:rPr>
                <w:sz w:val="18"/>
                <w:szCs w:val="18"/>
                <w:lang w:val="en-GB"/>
              </w:rPr>
              <w:t>mainly glass-shards,</w:t>
            </w:r>
            <w:r w:rsidRPr="009E1094">
              <w:rPr>
                <w:spacing w:val="-7"/>
                <w:sz w:val="18"/>
                <w:szCs w:val="18"/>
                <w:lang w:val="en-GB"/>
              </w:rPr>
              <w:t xml:space="preserve"> </w:t>
            </w:r>
            <w:r w:rsidRPr="009E1094">
              <w:rPr>
                <w:sz w:val="18"/>
                <w:szCs w:val="18"/>
                <w:lang w:val="en-GB"/>
              </w:rPr>
              <w:t>mineral grains -vitric tuffs, SIV:</w:t>
            </w:r>
            <w:r w:rsidRPr="009E1094">
              <w:rPr>
                <w:spacing w:val="-7"/>
                <w:sz w:val="18"/>
                <w:szCs w:val="18"/>
                <w:lang w:val="en-GB"/>
              </w:rPr>
              <w:t xml:space="preserve"> </w:t>
            </w:r>
            <w:r w:rsidRPr="009E1094">
              <w:rPr>
                <w:sz w:val="18"/>
                <w:szCs w:val="18"/>
                <w:lang w:val="en-GB"/>
              </w:rPr>
              <w:t>80; VTT: 10; TVB:</w:t>
            </w:r>
            <w:r w:rsidRPr="009E1094">
              <w:rPr>
                <w:spacing w:val="-4"/>
                <w:sz w:val="18"/>
                <w:szCs w:val="18"/>
                <w:lang w:val="en-GB"/>
              </w:rPr>
              <w:t xml:space="preserve"> </w:t>
            </w:r>
            <w:r w:rsidRPr="009E1094">
              <w:rPr>
                <w:sz w:val="18"/>
                <w:szCs w:val="18"/>
                <w:lang w:val="en-GB"/>
              </w:rPr>
              <w:t>6</w:t>
            </w:r>
          </w:p>
        </w:tc>
        <w:tc>
          <w:tcPr>
            <w:tcW w:w="162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spacing w:line="477" w:lineRule="auto"/>
              <w:ind w:left="415" w:right="67" w:hanging="348"/>
            </w:pPr>
            <w:r>
              <w:rPr>
                <w:sz w:val="18"/>
                <w:szCs w:val="18"/>
              </w:rPr>
              <w:t>epiclastic</w:t>
            </w:r>
            <w:r>
              <w:rPr>
                <w:spacing w:val="-3"/>
                <w:sz w:val="18"/>
                <w:szCs w:val="18"/>
              </w:rPr>
              <w:t xml:space="preserve"> </w:t>
            </w:r>
            <w:r>
              <w:rPr>
                <w:sz w:val="18"/>
                <w:szCs w:val="18"/>
              </w:rPr>
              <w:t>mass-flow (turbiditic)</w:t>
            </w:r>
          </w:p>
        </w:tc>
        <w:tc>
          <w:tcPr>
            <w:tcW w:w="108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jc w:val="center"/>
            </w:pPr>
            <w:r>
              <w:rPr>
                <w:sz w:val="18"/>
                <w:szCs w:val="18"/>
              </w:rPr>
              <w:t>----</w:t>
            </w:r>
          </w:p>
        </w:tc>
        <w:tc>
          <w:tcPr>
            <w:tcW w:w="826"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204"/>
            </w:pPr>
            <w:r>
              <w:rPr>
                <w:sz w:val="18"/>
                <w:szCs w:val="18"/>
              </w:rPr>
              <w:t>[15]</w:t>
            </w:r>
          </w:p>
        </w:tc>
      </w:tr>
      <w:tr w:rsidR="000F6F08" w:rsidTr="00217547">
        <w:trPr>
          <w:trHeight w:hRule="exact" w:val="1666"/>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74"/>
              <w:rPr>
                <w:sz w:val="18"/>
                <w:szCs w:val="18"/>
              </w:rPr>
            </w:pPr>
            <w:r>
              <w:rPr>
                <w:sz w:val="18"/>
                <w:szCs w:val="18"/>
              </w:rPr>
              <w:t>N.</w:t>
            </w:r>
            <w:r>
              <w:rPr>
                <w:spacing w:val="-1"/>
                <w:sz w:val="18"/>
                <w:szCs w:val="18"/>
              </w:rPr>
              <w:t xml:space="preserve"> </w:t>
            </w:r>
            <w:r>
              <w:rPr>
                <w:sz w:val="18"/>
                <w:szCs w:val="18"/>
              </w:rPr>
              <w:t>Apennines</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left="2"/>
              <w:jc w:val="center"/>
            </w:pPr>
            <w:r>
              <w:rPr>
                <w:sz w:val="18"/>
                <w:szCs w:val="18"/>
              </w:rPr>
              <w:t>/</w:t>
            </w:r>
            <w:r>
              <w:rPr>
                <w:spacing w:val="2"/>
                <w:sz w:val="18"/>
                <w:szCs w:val="18"/>
              </w:rPr>
              <w:t xml:space="preserve"> </w:t>
            </w:r>
            <w:r>
              <w:rPr>
                <w:sz w:val="18"/>
                <w:szCs w:val="18"/>
              </w:rPr>
              <w:t>29*</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07" w:right="104"/>
              <w:jc w:val="center"/>
            </w:pPr>
            <w:r>
              <w:rPr>
                <w:sz w:val="18"/>
                <w:szCs w:val="18"/>
              </w:rPr>
              <w:t>Vicchio</w:t>
            </w:r>
            <w:r>
              <w:rPr>
                <w:spacing w:val="-2"/>
                <w:sz w:val="18"/>
                <w:szCs w:val="18"/>
              </w:rPr>
              <w:t xml:space="preserve"> </w:t>
            </w:r>
            <w:r>
              <w:rPr>
                <w:sz w:val="18"/>
                <w:szCs w:val="18"/>
              </w:rPr>
              <w:t>Marls (Cervarola Unit;</w:t>
            </w:r>
            <w:r>
              <w:rPr>
                <w:spacing w:val="-1"/>
                <w:sz w:val="18"/>
                <w:szCs w:val="18"/>
              </w:rPr>
              <w:t xml:space="preserve"> </w:t>
            </w:r>
            <w:r>
              <w:rPr>
                <w:sz w:val="18"/>
                <w:szCs w:val="18"/>
              </w:rPr>
              <w:t>Bisciaro form,</w:t>
            </w:r>
            <w:r>
              <w:rPr>
                <w:spacing w:val="-4"/>
                <w:sz w:val="18"/>
                <w:szCs w:val="18"/>
              </w:rPr>
              <w:t xml:space="preserve"> </w:t>
            </w:r>
            <w:r>
              <w:rPr>
                <w:sz w:val="18"/>
                <w:szCs w:val="18"/>
              </w:rPr>
              <w:t>l.s.)</w:t>
            </w:r>
          </w:p>
        </w:tc>
        <w:tc>
          <w:tcPr>
            <w:tcW w:w="126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line="202" w:lineRule="exact"/>
              <w:ind w:left="71"/>
              <w:rPr>
                <w:sz w:val="18"/>
                <w:szCs w:val="18"/>
                <w:lang w:val="en-GB"/>
              </w:rPr>
            </w:pPr>
            <w:r w:rsidRPr="009E1094">
              <w:rPr>
                <w:sz w:val="18"/>
                <w:szCs w:val="18"/>
                <w:lang w:val="en-GB"/>
              </w:rPr>
              <w:t>late</w:t>
            </w:r>
            <w:r w:rsidRPr="009E1094">
              <w:rPr>
                <w:spacing w:val="-2"/>
                <w:sz w:val="18"/>
                <w:szCs w:val="18"/>
                <w:lang w:val="en-GB"/>
              </w:rPr>
              <w:t xml:space="preserve"> </w:t>
            </w:r>
            <w:r w:rsidRPr="009E1094">
              <w:rPr>
                <w:sz w:val="18"/>
                <w:szCs w:val="18"/>
                <w:lang w:val="en-GB"/>
              </w:rPr>
              <w:t>Aquitanian</w:t>
            </w:r>
          </w:p>
          <w:p w:rsidR="000F6F08" w:rsidRPr="009E1094" w:rsidRDefault="000F6F08" w:rsidP="00E706B5">
            <w:pPr>
              <w:pStyle w:val="TableParagraph"/>
              <w:kinsoku w:val="0"/>
              <w:overflowPunct w:val="0"/>
              <w:spacing w:before="1"/>
              <w:rPr>
                <w:sz w:val="18"/>
                <w:szCs w:val="18"/>
                <w:lang w:val="en-GB"/>
              </w:rPr>
            </w:pPr>
          </w:p>
          <w:p w:rsidR="000F6F08" w:rsidRPr="009E1094" w:rsidRDefault="000F6F08" w:rsidP="00E706B5">
            <w:pPr>
              <w:pStyle w:val="TableParagraph"/>
              <w:kinsoku w:val="0"/>
              <w:overflowPunct w:val="0"/>
              <w:ind w:left="167"/>
              <w:rPr>
                <w:sz w:val="18"/>
                <w:szCs w:val="18"/>
                <w:lang w:val="en-GB"/>
              </w:rPr>
            </w:pPr>
            <w:r w:rsidRPr="009E1094">
              <w:rPr>
                <w:sz w:val="18"/>
                <w:szCs w:val="18"/>
                <w:lang w:val="en-GB"/>
              </w:rPr>
              <w:t>-Burdigalian</w:t>
            </w:r>
          </w:p>
          <w:p w:rsidR="000F6F08" w:rsidRPr="009E1094" w:rsidRDefault="000F6F08" w:rsidP="00E706B5">
            <w:pPr>
              <w:pStyle w:val="TableParagraph"/>
              <w:kinsoku w:val="0"/>
              <w:overflowPunct w:val="0"/>
              <w:spacing w:before="10"/>
              <w:rPr>
                <w:sz w:val="17"/>
                <w:szCs w:val="17"/>
                <w:lang w:val="en-GB"/>
              </w:rPr>
            </w:pPr>
          </w:p>
          <w:p w:rsidR="000F6F08" w:rsidRPr="009E1094" w:rsidRDefault="000F6F08" w:rsidP="00E706B5">
            <w:pPr>
              <w:pStyle w:val="TableParagraph"/>
              <w:kinsoku w:val="0"/>
              <w:overflowPunct w:val="0"/>
              <w:spacing w:line="482" w:lineRule="auto"/>
              <w:ind w:left="333" w:right="232" w:hanging="101"/>
              <w:rPr>
                <w:lang w:val="en-GB"/>
              </w:rPr>
            </w:pPr>
            <w:r w:rsidRPr="009E1094">
              <w:rPr>
                <w:sz w:val="18"/>
                <w:szCs w:val="18"/>
                <w:lang w:val="en-GB"/>
              </w:rPr>
              <w:t>p.p.</w:t>
            </w:r>
            <w:r w:rsidRPr="009E1094">
              <w:rPr>
                <w:spacing w:val="-3"/>
                <w:sz w:val="18"/>
                <w:szCs w:val="18"/>
                <w:lang w:val="en-GB"/>
              </w:rPr>
              <w:t xml:space="preserve"> </w:t>
            </w:r>
            <w:r w:rsidRPr="009E1094">
              <w:rPr>
                <w:sz w:val="18"/>
                <w:szCs w:val="18"/>
                <w:lang w:val="en-GB"/>
              </w:rPr>
              <w:t>(lower portion)</w:t>
            </w:r>
          </w:p>
        </w:tc>
        <w:tc>
          <w:tcPr>
            <w:tcW w:w="144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jc w:val="center"/>
              <w:rPr>
                <w:sz w:val="18"/>
                <w:szCs w:val="18"/>
              </w:rPr>
            </w:pPr>
            <w:r>
              <w:rPr>
                <w:sz w:val="18"/>
                <w:szCs w:val="18"/>
              </w:rPr>
              <w:t>rhyolite</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right="2"/>
              <w:jc w:val="center"/>
            </w:pPr>
            <w:r>
              <w:rPr>
                <w:sz w:val="18"/>
                <w:szCs w:val="18"/>
              </w:rPr>
              <w:t>-dacite</w:t>
            </w:r>
            <w:r>
              <w:rPr>
                <w:spacing w:val="-5"/>
                <w:sz w:val="18"/>
                <w:szCs w:val="18"/>
              </w:rPr>
              <w:t xml:space="preserve"> </w:t>
            </w:r>
            <w:r>
              <w:rPr>
                <w:sz w:val="18"/>
                <w:szCs w:val="18"/>
              </w:rPr>
              <w:t>glass</w:t>
            </w:r>
          </w:p>
        </w:tc>
        <w:tc>
          <w:tcPr>
            <w:tcW w:w="2341"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6"/>
              <w:rPr>
                <w:sz w:val="17"/>
                <w:szCs w:val="17"/>
                <w:lang w:val="en-GB"/>
              </w:rPr>
            </w:pPr>
          </w:p>
          <w:p w:rsidR="000F6F08" w:rsidRPr="009E1094" w:rsidRDefault="000F6F08" w:rsidP="00E706B5">
            <w:pPr>
              <w:pStyle w:val="TableParagraph"/>
              <w:kinsoku w:val="0"/>
              <w:overflowPunct w:val="0"/>
              <w:spacing w:line="480" w:lineRule="auto"/>
              <w:ind w:left="69" w:right="70" w:firstLine="2"/>
              <w:jc w:val="center"/>
              <w:rPr>
                <w:lang w:val="en-GB"/>
              </w:rPr>
            </w:pPr>
            <w:r w:rsidRPr="009E1094">
              <w:rPr>
                <w:sz w:val="18"/>
                <w:szCs w:val="18"/>
                <w:lang w:val="en-GB"/>
              </w:rPr>
              <w:t>mineral grains,</w:t>
            </w:r>
            <w:r w:rsidRPr="009E1094">
              <w:rPr>
                <w:spacing w:val="-4"/>
                <w:sz w:val="18"/>
                <w:szCs w:val="18"/>
                <w:lang w:val="en-GB"/>
              </w:rPr>
              <w:t xml:space="preserve"> </w:t>
            </w:r>
            <w:r w:rsidRPr="009E1094">
              <w:rPr>
                <w:sz w:val="18"/>
                <w:szCs w:val="18"/>
                <w:lang w:val="en-GB"/>
              </w:rPr>
              <w:t>glass-shards and andesitic clasts; SIV:</w:t>
            </w:r>
            <w:r w:rsidRPr="009E1094">
              <w:rPr>
                <w:spacing w:val="-10"/>
                <w:sz w:val="18"/>
                <w:szCs w:val="18"/>
                <w:lang w:val="en-GB"/>
              </w:rPr>
              <w:t xml:space="preserve"> </w:t>
            </w:r>
            <w:r w:rsidRPr="009E1094">
              <w:rPr>
                <w:sz w:val="18"/>
                <w:szCs w:val="18"/>
                <w:lang w:val="en-GB"/>
              </w:rPr>
              <w:t>450; TVB:</w:t>
            </w:r>
            <w:r w:rsidRPr="009E1094">
              <w:rPr>
                <w:spacing w:val="-2"/>
                <w:sz w:val="18"/>
                <w:szCs w:val="18"/>
                <w:lang w:val="en-GB"/>
              </w:rPr>
              <w:t xml:space="preserve"> </w:t>
            </w:r>
            <w:r w:rsidRPr="009E1094">
              <w:rPr>
                <w:sz w:val="18"/>
                <w:szCs w:val="18"/>
                <w:lang w:val="en-GB"/>
              </w:rPr>
              <w:t>0.3</w:t>
            </w:r>
          </w:p>
        </w:tc>
        <w:tc>
          <w:tcPr>
            <w:tcW w:w="162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spacing w:line="477" w:lineRule="auto"/>
              <w:ind w:left="415" w:right="67" w:hanging="348"/>
            </w:pPr>
            <w:r>
              <w:rPr>
                <w:sz w:val="18"/>
                <w:szCs w:val="18"/>
              </w:rPr>
              <w:t>epiclastic</w:t>
            </w:r>
            <w:r>
              <w:rPr>
                <w:spacing w:val="-3"/>
                <w:sz w:val="18"/>
                <w:szCs w:val="18"/>
              </w:rPr>
              <w:t xml:space="preserve"> </w:t>
            </w:r>
            <w:r>
              <w:rPr>
                <w:sz w:val="18"/>
                <w:szCs w:val="18"/>
              </w:rPr>
              <w:t>mass-flow (turbiditic)</w:t>
            </w:r>
          </w:p>
        </w:tc>
        <w:tc>
          <w:tcPr>
            <w:tcW w:w="108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127" w:right="125"/>
              <w:jc w:val="center"/>
            </w:pPr>
            <w:r>
              <w:rPr>
                <w:sz w:val="18"/>
                <w:szCs w:val="18"/>
              </w:rPr>
              <w:t>internal volcanic zone</w:t>
            </w:r>
            <w:r>
              <w:rPr>
                <w:spacing w:val="-1"/>
                <w:sz w:val="18"/>
                <w:szCs w:val="18"/>
              </w:rPr>
              <w:t xml:space="preserve"> </w:t>
            </w:r>
            <w:r>
              <w:rPr>
                <w:sz w:val="18"/>
                <w:szCs w:val="18"/>
              </w:rPr>
              <w:t>(near the</w:t>
            </w:r>
            <w:r>
              <w:rPr>
                <w:spacing w:val="-2"/>
                <w:sz w:val="18"/>
                <w:szCs w:val="18"/>
              </w:rPr>
              <w:t xml:space="preserve"> </w:t>
            </w:r>
            <w:r>
              <w:rPr>
                <w:sz w:val="18"/>
                <w:szCs w:val="18"/>
              </w:rPr>
              <w:t>graben)</w:t>
            </w:r>
          </w:p>
        </w:tc>
        <w:tc>
          <w:tcPr>
            <w:tcW w:w="826"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204"/>
              <w:rPr>
                <w:sz w:val="18"/>
                <w:szCs w:val="18"/>
              </w:rPr>
            </w:pPr>
            <w:r>
              <w:rPr>
                <w:sz w:val="18"/>
                <w:szCs w:val="18"/>
              </w:rPr>
              <w:t>[15]</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left="204"/>
            </w:pPr>
            <w:r>
              <w:rPr>
                <w:sz w:val="18"/>
                <w:szCs w:val="18"/>
              </w:rPr>
              <w:t>[26]</w:t>
            </w:r>
          </w:p>
        </w:tc>
      </w:tr>
    </w:tbl>
    <w:p w:rsidR="000F6F08" w:rsidRDefault="000F6F08" w:rsidP="000F6F08">
      <w:pPr>
        <w:pStyle w:val="Corpodeltesto"/>
        <w:kinsoku w:val="0"/>
        <w:overflowPunct w:val="0"/>
        <w:spacing w:before="1"/>
        <w:rPr>
          <w:sz w:val="7"/>
          <w:szCs w:val="7"/>
        </w:rPr>
      </w:pPr>
    </w:p>
    <w:tbl>
      <w:tblPr>
        <w:tblW w:w="11199" w:type="dxa"/>
        <w:tblInd w:w="-1129" w:type="dxa"/>
        <w:tblLayout w:type="fixed"/>
        <w:tblCellMar>
          <w:left w:w="0" w:type="dxa"/>
          <w:right w:w="0" w:type="dxa"/>
        </w:tblCellMar>
        <w:tblLook w:val="0000"/>
      </w:tblPr>
      <w:tblGrid>
        <w:gridCol w:w="1372"/>
        <w:gridCol w:w="1260"/>
        <w:gridCol w:w="1260"/>
        <w:gridCol w:w="1440"/>
        <w:gridCol w:w="2341"/>
        <w:gridCol w:w="1620"/>
        <w:gridCol w:w="1080"/>
        <w:gridCol w:w="826"/>
      </w:tblGrid>
      <w:tr w:rsidR="000F6F08" w:rsidTr="00217547">
        <w:trPr>
          <w:trHeight w:hRule="exact" w:val="1666"/>
        </w:trPr>
        <w:tc>
          <w:tcPr>
            <w:tcW w:w="1372"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spacing w:line="477" w:lineRule="auto"/>
              <w:ind w:left="143" w:right="142" w:firstLine="9"/>
            </w:pPr>
            <w:r>
              <w:rPr>
                <w:sz w:val="18"/>
                <w:szCs w:val="18"/>
              </w:rPr>
              <w:t>W-Sardinia Graben /</w:t>
            </w:r>
            <w:r>
              <w:rPr>
                <w:spacing w:val="-2"/>
                <w:sz w:val="18"/>
                <w:szCs w:val="18"/>
              </w:rPr>
              <w:t xml:space="preserve"> </w:t>
            </w:r>
            <w:r>
              <w:rPr>
                <w:sz w:val="18"/>
                <w:szCs w:val="18"/>
              </w:rPr>
              <w:t>30</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spacing w:line="480" w:lineRule="auto"/>
              <w:ind w:left="88" w:right="91"/>
              <w:jc w:val="center"/>
            </w:pPr>
            <w:r>
              <w:rPr>
                <w:sz w:val="18"/>
                <w:szCs w:val="18"/>
              </w:rPr>
              <w:t>Villanovaforru Succession, Marmilla Basin</w:t>
            </w:r>
          </w:p>
        </w:tc>
        <w:tc>
          <w:tcPr>
            <w:tcW w:w="1260"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199"/>
            </w:pPr>
            <w:r>
              <w:rPr>
                <w:sz w:val="18"/>
                <w:szCs w:val="18"/>
              </w:rPr>
              <w:t>Burdigalian</w:t>
            </w:r>
          </w:p>
        </w:tc>
        <w:tc>
          <w:tcPr>
            <w:tcW w:w="144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9"/>
              <w:rPr>
                <w:sz w:val="17"/>
                <w:szCs w:val="17"/>
                <w:lang w:val="en-GB"/>
              </w:rPr>
            </w:pPr>
          </w:p>
          <w:p w:rsidR="000F6F08" w:rsidRPr="009E1094" w:rsidRDefault="000F6F08" w:rsidP="00E706B5">
            <w:pPr>
              <w:pStyle w:val="TableParagraph"/>
              <w:kinsoku w:val="0"/>
              <w:overflowPunct w:val="0"/>
              <w:spacing w:line="480" w:lineRule="auto"/>
              <w:ind w:left="165" w:right="163"/>
              <w:jc w:val="both"/>
              <w:rPr>
                <w:lang w:val="en-GB"/>
              </w:rPr>
            </w:pPr>
            <w:r w:rsidRPr="009E1094">
              <w:rPr>
                <w:sz w:val="18"/>
                <w:szCs w:val="18"/>
                <w:lang w:val="en-GB"/>
              </w:rPr>
              <w:t>high-Mg</w:t>
            </w:r>
            <w:r w:rsidRPr="009E1094">
              <w:rPr>
                <w:spacing w:val="-2"/>
                <w:sz w:val="18"/>
                <w:szCs w:val="18"/>
                <w:lang w:val="en-GB"/>
              </w:rPr>
              <w:t xml:space="preserve"> </w:t>
            </w:r>
            <w:r w:rsidRPr="009E1094">
              <w:rPr>
                <w:sz w:val="18"/>
                <w:szCs w:val="18"/>
                <w:lang w:val="en-GB"/>
              </w:rPr>
              <w:t>basalt (tholeiitic/calc- alkaline</w:t>
            </w:r>
            <w:r w:rsidRPr="009E1094">
              <w:rPr>
                <w:spacing w:val="-6"/>
                <w:sz w:val="18"/>
                <w:szCs w:val="18"/>
                <w:lang w:val="en-GB"/>
              </w:rPr>
              <w:t xml:space="preserve"> </w:t>
            </w:r>
            <w:r w:rsidRPr="009E1094">
              <w:rPr>
                <w:sz w:val="18"/>
                <w:szCs w:val="18"/>
                <w:lang w:val="en-GB"/>
              </w:rPr>
              <w:t>type)</w:t>
            </w:r>
          </w:p>
        </w:tc>
        <w:tc>
          <w:tcPr>
            <w:tcW w:w="2341"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9"/>
              <w:rPr>
                <w:sz w:val="17"/>
                <w:szCs w:val="17"/>
                <w:lang w:val="en-GB"/>
              </w:rPr>
            </w:pPr>
          </w:p>
          <w:p w:rsidR="000F6F08" w:rsidRPr="009E1094" w:rsidRDefault="000F6F08" w:rsidP="00E706B5">
            <w:pPr>
              <w:pStyle w:val="TableParagraph"/>
              <w:kinsoku w:val="0"/>
              <w:overflowPunct w:val="0"/>
              <w:spacing w:line="480" w:lineRule="auto"/>
              <w:ind w:left="168" w:right="170" w:hanging="1"/>
              <w:jc w:val="center"/>
              <w:rPr>
                <w:lang w:val="en-GB"/>
              </w:rPr>
            </w:pPr>
            <w:r w:rsidRPr="009E1094">
              <w:rPr>
                <w:sz w:val="18"/>
                <w:szCs w:val="18"/>
                <w:lang w:val="en-GB"/>
              </w:rPr>
              <w:t>large amount of</w:t>
            </w:r>
            <w:r w:rsidRPr="009E1094">
              <w:rPr>
                <w:spacing w:val="-8"/>
                <w:sz w:val="18"/>
                <w:szCs w:val="18"/>
                <w:lang w:val="en-GB"/>
              </w:rPr>
              <w:t xml:space="preserve"> </w:t>
            </w:r>
            <w:r w:rsidRPr="009E1094">
              <w:rPr>
                <w:sz w:val="18"/>
                <w:szCs w:val="18"/>
                <w:lang w:val="en-GB"/>
              </w:rPr>
              <w:t>reworked volcanic detritus, SIV:</w:t>
            </w:r>
            <w:r w:rsidRPr="009E1094">
              <w:rPr>
                <w:spacing w:val="-7"/>
                <w:sz w:val="18"/>
                <w:szCs w:val="18"/>
                <w:lang w:val="en-GB"/>
              </w:rPr>
              <w:t xml:space="preserve"> </w:t>
            </w:r>
            <w:r w:rsidRPr="009E1094">
              <w:rPr>
                <w:sz w:val="18"/>
                <w:szCs w:val="18"/>
                <w:lang w:val="en-GB"/>
              </w:rPr>
              <w:t>640; VTT&gt;10; TVB:</w:t>
            </w:r>
            <w:r w:rsidRPr="009E1094">
              <w:rPr>
                <w:spacing w:val="-4"/>
                <w:sz w:val="18"/>
                <w:szCs w:val="18"/>
                <w:lang w:val="en-GB"/>
              </w:rPr>
              <w:t xml:space="preserve"> </w:t>
            </w:r>
            <w:r w:rsidRPr="009E1094">
              <w:rPr>
                <w:sz w:val="18"/>
                <w:szCs w:val="18"/>
                <w:lang w:val="en-GB"/>
              </w:rPr>
              <w:t>0,6</w:t>
            </w:r>
          </w:p>
        </w:tc>
        <w:tc>
          <w:tcPr>
            <w:tcW w:w="162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spacing w:before="9"/>
              <w:rPr>
                <w:sz w:val="17"/>
                <w:szCs w:val="17"/>
                <w:lang w:val="en-GB"/>
              </w:rPr>
            </w:pPr>
          </w:p>
          <w:p w:rsidR="000F6F08" w:rsidRPr="009E1094" w:rsidRDefault="000F6F08" w:rsidP="00E706B5">
            <w:pPr>
              <w:pStyle w:val="TableParagraph"/>
              <w:kinsoku w:val="0"/>
              <w:overflowPunct w:val="0"/>
              <w:spacing w:line="480" w:lineRule="auto"/>
              <w:ind w:left="69" w:right="64"/>
              <w:jc w:val="center"/>
              <w:rPr>
                <w:lang w:val="en-GB"/>
              </w:rPr>
            </w:pPr>
            <w:r w:rsidRPr="009E1094">
              <w:rPr>
                <w:sz w:val="18"/>
                <w:szCs w:val="18"/>
                <w:lang w:val="en-GB"/>
              </w:rPr>
              <w:t>epiclastic</w:t>
            </w:r>
            <w:r w:rsidRPr="009E1094">
              <w:rPr>
                <w:spacing w:val="-4"/>
                <w:sz w:val="18"/>
                <w:szCs w:val="18"/>
                <w:lang w:val="en-GB"/>
              </w:rPr>
              <w:t xml:space="preserve"> </w:t>
            </w:r>
            <w:r w:rsidRPr="009E1094">
              <w:rPr>
                <w:sz w:val="18"/>
                <w:szCs w:val="18"/>
                <w:lang w:val="en-GB"/>
              </w:rPr>
              <w:t>mass-flow (turbiditic), pyroclastic</w:t>
            </w:r>
            <w:r w:rsidRPr="009E1094">
              <w:rPr>
                <w:spacing w:val="-6"/>
                <w:sz w:val="18"/>
                <w:szCs w:val="18"/>
                <w:lang w:val="en-GB"/>
              </w:rPr>
              <w:t xml:space="preserve"> </w:t>
            </w:r>
            <w:r w:rsidRPr="009E1094">
              <w:rPr>
                <w:sz w:val="18"/>
                <w:szCs w:val="18"/>
                <w:lang w:val="en-GB"/>
              </w:rPr>
              <w:t>fall.</w:t>
            </w:r>
          </w:p>
        </w:tc>
        <w:tc>
          <w:tcPr>
            <w:tcW w:w="1080" w:type="dxa"/>
            <w:tcBorders>
              <w:top w:val="single" w:sz="4" w:space="0" w:color="000000"/>
              <w:left w:val="single" w:sz="4" w:space="0" w:color="000000"/>
              <w:bottom w:val="single" w:sz="4" w:space="0" w:color="000000"/>
              <w:right w:val="single" w:sz="4" w:space="0" w:color="000000"/>
            </w:tcBorders>
          </w:tcPr>
          <w:p w:rsidR="000F6F08" w:rsidRPr="009E1094" w:rsidRDefault="000F6F08" w:rsidP="00E706B5">
            <w:pPr>
              <w:pStyle w:val="TableParagraph"/>
              <w:kinsoku w:val="0"/>
              <w:overflowPunct w:val="0"/>
              <w:rPr>
                <w:sz w:val="18"/>
                <w:szCs w:val="18"/>
                <w:lang w:val="en-GB"/>
              </w:rPr>
            </w:pPr>
          </w:p>
          <w:p w:rsidR="000F6F08" w:rsidRPr="009E1094" w:rsidRDefault="000F6F08" w:rsidP="00E706B5">
            <w:pPr>
              <w:pStyle w:val="TableParagraph"/>
              <w:kinsoku w:val="0"/>
              <w:overflowPunct w:val="0"/>
              <w:spacing w:before="8"/>
              <w:rPr>
                <w:sz w:val="17"/>
                <w:szCs w:val="17"/>
                <w:lang w:val="en-GB"/>
              </w:rPr>
            </w:pPr>
          </w:p>
          <w:p w:rsidR="000F6F08" w:rsidRDefault="000F6F08" w:rsidP="00E706B5">
            <w:pPr>
              <w:pStyle w:val="TableParagraph"/>
              <w:kinsoku w:val="0"/>
              <w:overflowPunct w:val="0"/>
              <w:spacing w:line="477" w:lineRule="auto"/>
              <w:ind w:left="300" w:right="122" w:hanging="176"/>
            </w:pPr>
            <w:r>
              <w:rPr>
                <w:sz w:val="18"/>
                <w:szCs w:val="18"/>
              </w:rPr>
              <w:t>close to</w:t>
            </w:r>
            <w:r>
              <w:rPr>
                <w:spacing w:val="-1"/>
                <w:sz w:val="18"/>
                <w:szCs w:val="18"/>
              </w:rPr>
              <w:t xml:space="preserve"> </w:t>
            </w:r>
            <w:r>
              <w:rPr>
                <w:sz w:val="18"/>
                <w:szCs w:val="18"/>
              </w:rPr>
              <w:t>the source</w:t>
            </w:r>
          </w:p>
        </w:tc>
        <w:tc>
          <w:tcPr>
            <w:tcW w:w="826" w:type="dxa"/>
            <w:tcBorders>
              <w:top w:val="single" w:sz="4" w:space="0" w:color="000000"/>
              <w:left w:val="single" w:sz="4" w:space="0" w:color="000000"/>
              <w:bottom w:val="single" w:sz="4" w:space="0" w:color="000000"/>
              <w:right w:val="single" w:sz="4" w:space="0" w:color="000000"/>
            </w:tcBorders>
          </w:tcPr>
          <w:p w:rsidR="000F6F08" w:rsidRDefault="000F6F08" w:rsidP="00E706B5">
            <w:pPr>
              <w:pStyle w:val="TableParagraph"/>
              <w:kinsoku w:val="0"/>
              <w:overflowPunct w:val="0"/>
              <w:rPr>
                <w:sz w:val="18"/>
                <w:szCs w:val="18"/>
              </w:rPr>
            </w:pPr>
          </w:p>
          <w:p w:rsidR="000F6F08" w:rsidRDefault="000F6F08" w:rsidP="00E706B5">
            <w:pPr>
              <w:pStyle w:val="TableParagraph"/>
              <w:kinsoku w:val="0"/>
              <w:overflowPunct w:val="0"/>
              <w:spacing w:before="8"/>
              <w:rPr>
                <w:sz w:val="17"/>
                <w:szCs w:val="17"/>
              </w:rPr>
            </w:pPr>
          </w:p>
          <w:p w:rsidR="000F6F08" w:rsidRDefault="000F6F08" w:rsidP="00E706B5">
            <w:pPr>
              <w:pStyle w:val="TableParagraph"/>
              <w:kinsoku w:val="0"/>
              <w:overflowPunct w:val="0"/>
              <w:ind w:left="204"/>
              <w:rPr>
                <w:sz w:val="18"/>
                <w:szCs w:val="18"/>
              </w:rPr>
            </w:pPr>
            <w:r>
              <w:rPr>
                <w:sz w:val="18"/>
                <w:szCs w:val="18"/>
              </w:rPr>
              <w:t>[27]</w:t>
            </w:r>
          </w:p>
          <w:p w:rsidR="000F6F08" w:rsidRDefault="000F6F08" w:rsidP="00E706B5">
            <w:pPr>
              <w:pStyle w:val="TableParagraph"/>
              <w:kinsoku w:val="0"/>
              <w:overflowPunct w:val="0"/>
              <w:spacing w:before="10"/>
              <w:rPr>
                <w:sz w:val="17"/>
                <w:szCs w:val="17"/>
              </w:rPr>
            </w:pPr>
          </w:p>
          <w:p w:rsidR="000F6F08" w:rsidRDefault="000F6F08" w:rsidP="00E706B5">
            <w:pPr>
              <w:pStyle w:val="TableParagraph"/>
              <w:kinsoku w:val="0"/>
              <w:overflowPunct w:val="0"/>
              <w:ind w:left="204"/>
            </w:pPr>
            <w:r>
              <w:rPr>
                <w:sz w:val="18"/>
                <w:szCs w:val="18"/>
              </w:rPr>
              <w:t>[28]</w:t>
            </w:r>
          </w:p>
        </w:tc>
      </w:tr>
    </w:tbl>
    <w:p w:rsidR="000F6F08" w:rsidRDefault="000F6F08" w:rsidP="000F6F08"/>
    <w:p w:rsidR="00DF26C1" w:rsidRDefault="00DF26C1">
      <w:pPr>
        <w:suppressAutoHyphens w:val="0"/>
        <w:autoSpaceDE/>
        <w:spacing w:line="240" w:lineRule="auto"/>
        <w:jc w:val="left"/>
        <w:rPr>
          <w:b/>
          <w:bCs/>
          <w:sz w:val="22"/>
          <w:szCs w:val="22"/>
        </w:rPr>
      </w:pPr>
      <w:r>
        <w:rPr>
          <w:b/>
          <w:bCs/>
          <w:sz w:val="22"/>
          <w:szCs w:val="22"/>
        </w:rPr>
        <w:br w:type="page"/>
      </w:r>
    </w:p>
    <w:p w:rsidR="00DF26C1" w:rsidRDefault="00DF26C1" w:rsidP="00525891">
      <w:pPr>
        <w:spacing w:line="240" w:lineRule="auto"/>
        <w:ind w:left="-426" w:hanging="283"/>
        <w:rPr>
          <w:sz w:val="22"/>
          <w:szCs w:val="22"/>
        </w:rPr>
      </w:pPr>
      <w:r>
        <w:rPr>
          <w:b/>
          <w:bCs/>
          <w:sz w:val="22"/>
          <w:szCs w:val="22"/>
        </w:rPr>
        <w:lastRenderedPageBreak/>
        <w:t xml:space="preserve">Supplementary – Table S6: </w:t>
      </w:r>
      <w:r w:rsidRPr="0064535E">
        <w:rPr>
          <w:sz w:val="22"/>
          <w:szCs w:val="22"/>
        </w:rPr>
        <w:t xml:space="preserve">Table </w:t>
      </w:r>
      <w:r>
        <w:rPr>
          <w:sz w:val="22"/>
          <w:szCs w:val="22"/>
        </w:rPr>
        <w:t>of</w:t>
      </w:r>
      <w:r w:rsidRPr="0064535E">
        <w:rPr>
          <w:sz w:val="22"/>
          <w:szCs w:val="22"/>
        </w:rPr>
        <w:t xml:space="preserve"> </w:t>
      </w:r>
      <w:r>
        <w:rPr>
          <w:sz w:val="22"/>
          <w:szCs w:val="22"/>
        </w:rPr>
        <w:t>r</w:t>
      </w:r>
      <w:r w:rsidRPr="0064535E">
        <w:rPr>
          <w:sz w:val="22"/>
          <w:szCs w:val="22"/>
        </w:rPr>
        <w:t>evisited age a</w:t>
      </w:r>
      <w:r>
        <w:rPr>
          <w:sz w:val="22"/>
          <w:szCs w:val="22"/>
        </w:rPr>
        <w:t>nd geochemistry data of Apenninic</w:t>
      </w:r>
      <w:r w:rsidRPr="0064535E">
        <w:rPr>
          <w:sz w:val="22"/>
          <w:szCs w:val="22"/>
        </w:rPr>
        <w:t xml:space="preserve"> allochthonous volcanoclastics and buried volcano beneath Pieve Santo Stefano; major elements (weight %)</w:t>
      </w:r>
      <w:r w:rsidRPr="0064535E">
        <w:rPr>
          <w:sz w:val="22"/>
          <w:szCs w:val="22"/>
          <w:vertAlign w:val="subscript"/>
        </w:rPr>
        <w:t xml:space="preserve"> </w:t>
      </w:r>
      <w:r w:rsidRPr="0064535E">
        <w:rPr>
          <w:sz w:val="22"/>
          <w:szCs w:val="22"/>
        </w:rPr>
        <w:t xml:space="preserve">and trace elements (ppm). </w:t>
      </w:r>
      <w:r w:rsidRPr="0064535E">
        <w:rPr>
          <w:sz w:val="22"/>
          <w:szCs w:val="22"/>
          <w:lang w:val="it-IT"/>
        </w:rPr>
        <w:t>Data source: 1) Eni (</w:t>
      </w:r>
      <w:r>
        <w:rPr>
          <w:sz w:val="22"/>
          <w:szCs w:val="22"/>
          <w:lang w:val="it-IT"/>
        </w:rPr>
        <w:t>un</w:t>
      </w:r>
      <w:r w:rsidRPr="0064535E">
        <w:rPr>
          <w:sz w:val="22"/>
          <w:szCs w:val="22"/>
          <w:lang w:val="it-IT"/>
        </w:rPr>
        <w:t xml:space="preserve">published report, 1982; 2) Cibin et al., 1998; 3) Balogh et al., 2001; 4) Baruffini et al., 2002; 5) Mattioli et al, 2002; 6) Mezzetti et al., 1964; 7) Guerrera et al., 1986; 8) Balogh et al., 1993; 9) Delle Rose et al., 1994a; 10) Delle Rose et al., 1994b; 11) Spadea and Carmisciano, 1974; 12) Guerrera et al., 1986; 13) Crisci et al., 1988; 14) Critelli and Le Pera, 1990a; 15) Le Pera and Ventura, 1994. </w:t>
      </w:r>
      <w:r w:rsidRPr="0064535E">
        <w:rPr>
          <w:sz w:val="22"/>
          <w:szCs w:val="22"/>
        </w:rPr>
        <w:t>CA = calc-alkaline; glass sh. = glas</w:t>
      </w:r>
      <w:r w:rsidR="00525891">
        <w:rPr>
          <w:sz w:val="22"/>
          <w:szCs w:val="22"/>
        </w:rPr>
        <w:t>s shards; b.d. = below detectio</w:t>
      </w:r>
      <w:r w:rsidRPr="0064535E">
        <w:rPr>
          <w:sz w:val="22"/>
          <w:szCs w:val="22"/>
        </w:rPr>
        <w:t>.</w:t>
      </w:r>
    </w:p>
    <w:p w:rsidR="00525891" w:rsidRDefault="00525891">
      <w:pPr>
        <w:suppressAutoHyphens w:val="0"/>
        <w:autoSpaceDE/>
        <w:spacing w:line="240" w:lineRule="auto"/>
        <w:jc w:val="left"/>
        <w:rPr>
          <w:sz w:val="22"/>
          <w:szCs w:val="22"/>
        </w:rPr>
      </w:pPr>
      <w:r>
        <w:rPr>
          <w:sz w:val="22"/>
          <w:szCs w:val="22"/>
        </w:rPr>
        <w:br w:type="page"/>
      </w:r>
    </w:p>
    <w:p w:rsidR="00525891" w:rsidRPr="00B12A32" w:rsidRDefault="00525891" w:rsidP="00525891">
      <w:pPr>
        <w:spacing w:before="5"/>
        <w:rPr>
          <w:rFonts w:eastAsia="Times New Roman"/>
          <w:sz w:val="7"/>
          <w:szCs w:val="7"/>
        </w:rPr>
      </w:pPr>
    </w:p>
    <w:tbl>
      <w:tblPr>
        <w:tblStyle w:val="TableNormal"/>
        <w:tblW w:w="0" w:type="auto"/>
        <w:tblInd w:w="113" w:type="dxa"/>
        <w:tblLayout w:type="fixed"/>
        <w:tblLook w:val="01E0"/>
      </w:tblPr>
      <w:tblGrid>
        <w:gridCol w:w="591"/>
        <w:gridCol w:w="905"/>
        <w:gridCol w:w="330"/>
        <w:gridCol w:w="393"/>
        <w:gridCol w:w="691"/>
        <w:gridCol w:w="524"/>
        <w:gridCol w:w="424"/>
        <w:gridCol w:w="356"/>
        <w:gridCol w:w="444"/>
        <w:gridCol w:w="562"/>
        <w:gridCol w:w="337"/>
        <w:gridCol w:w="296"/>
        <w:gridCol w:w="353"/>
        <w:gridCol w:w="385"/>
        <w:gridCol w:w="331"/>
        <w:gridCol w:w="302"/>
        <w:gridCol w:w="350"/>
        <w:gridCol w:w="341"/>
        <w:gridCol w:w="346"/>
        <w:gridCol w:w="346"/>
        <w:gridCol w:w="347"/>
        <w:gridCol w:w="349"/>
        <w:gridCol w:w="424"/>
        <w:gridCol w:w="343"/>
        <w:gridCol w:w="379"/>
        <w:gridCol w:w="275"/>
        <w:gridCol w:w="316"/>
        <w:gridCol w:w="225"/>
        <w:gridCol w:w="296"/>
        <w:gridCol w:w="341"/>
        <w:gridCol w:w="312"/>
        <w:gridCol w:w="297"/>
        <w:gridCol w:w="293"/>
        <w:gridCol w:w="299"/>
        <w:gridCol w:w="299"/>
        <w:gridCol w:w="298"/>
        <w:gridCol w:w="289"/>
        <w:gridCol w:w="214"/>
      </w:tblGrid>
      <w:tr w:rsidR="00540C0B" w:rsidRPr="00B12A32" w:rsidTr="00AE1B03">
        <w:trPr>
          <w:trHeight w:hRule="exact" w:val="145"/>
        </w:trPr>
        <w:tc>
          <w:tcPr>
            <w:tcW w:w="591" w:type="dxa"/>
            <w:tcBorders>
              <w:top w:val="nil"/>
              <w:left w:val="single" w:sz="4" w:space="0" w:color="000000"/>
              <w:bottom w:val="nil"/>
              <w:right w:val="nil"/>
            </w:tcBorders>
          </w:tcPr>
          <w:p w:rsidR="00540C0B" w:rsidRPr="00B12A32" w:rsidRDefault="00540C0B" w:rsidP="00AE1B03">
            <w:pPr>
              <w:pStyle w:val="TableParagraph"/>
              <w:spacing w:before="7"/>
              <w:ind w:left="21"/>
              <w:rPr>
                <w:rFonts w:ascii="Times New Roman" w:eastAsia="Arial" w:hAnsi="Times New Roman" w:cs="Times New Roman"/>
                <w:sz w:val="11"/>
                <w:szCs w:val="11"/>
              </w:rPr>
            </w:pPr>
            <w:r w:rsidRPr="00B12A32">
              <w:rPr>
                <w:rFonts w:ascii="Times New Roman" w:hAnsi="Times New Roman" w:cs="Times New Roman"/>
                <w:w w:val="105"/>
                <w:sz w:val="11"/>
              </w:rPr>
              <w:t>Age</w:t>
            </w:r>
            <w:r w:rsidRPr="00B12A32">
              <w:rPr>
                <w:rFonts w:ascii="Times New Roman" w:hAnsi="Times New Roman" w:cs="Times New Roman"/>
                <w:spacing w:val="-14"/>
                <w:w w:val="105"/>
                <w:sz w:val="11"/>
              </w:rPr>
              <w:t xml:space="preserve"> </w:t>
            </w:r>
            <w:r w:rsidRPr="00B12A32">
              <w:rPr>
                <w:rFonts w:ascii="Times New Roman" w:hAnsi="Times New Roman" w:cs="Times New Roman"/>
                <w:w w:val="105"/>
                <w:sz w:val="11"/>
              </w:rPr>
              <w:t>(Ma)</w:t>
            </w:r>
          </w:p>
        </w:tc>
        <w:tc>
          <w:tcPr>
            <w:tcW w:w="905" w:type="dxa"/>
            <w:tcBorders>
              <w:top w:val="nil"/>
              <w:left w:val="nil"/>
              <w:bottom w:val="nil"/>
              <w:right w:val="nil"/>
            </w:tcBorders>
          </w:tcPr>
          <w:p w:rsidR="00540C0B" w:rsidRPr="00B12A32" w:rsidRDefault="00540C0B" w:rsidP="00AE1B03">
            <w:pPr>
              <w:pStyle w:val="TableParagraph"/>
              <w:spacing w:before="7"/>
              <w:ind w:left="1"/>
              <w:rPr>
                <w:rFonts w:ascii="Times New Roman" w:eastAsia="Arial" w:hAnsi="Times New Roman" w:cs="Times New Roman"/>
                <w:sz w:val="11"/>
                <w:szCs w:val="11"/>
              </w:rPr>
            </w:pPr>
            <w:r w:rsidRPr="00B12A32">
              <w:rPr>
                <w:rFonts w:ascii="Times New Roman" w:hAnsi="Times New Roman" w:cs="Times New Roman"/>
                <w:w w:val="105"/>
                <w:sz w:val="11"/>
              </w:rPr>
              <w:t>Location</w:t>
            </w:r>
          </w:p>
        </w:tc>
        <w:tc>
          <w:tcPr>
            <w:tcW w:w="330" w:type="dxa"/>
            <w:tcBorders>
              <w:top w:val="nil"/>
              <w:left w:val="nil"/>
              <w:bottom w:val="nil"/>
              <w:right w:val="nil"/>
            </w:tcBorders>
          </w:tcPr>
          <w:p w:rsidR="00540C0B" w:rsidRPr="00B12A32" w:rsidRDefault="00540C0B" w:rsidP="00AE1B03">
            <w:pPr>
              <w:pStyle w:val="TableParagraph"/>
              <w:spacing w:before="7"/>
              <w:ind w:left="-13"/>
              <w:rPr>
                <w:rFonts w:ascii="Times New Roman" w:eastAsia="Arial" w:hAnsi="Times New Roman" w:cs="Times New Roman"/>
                <w:sz w:val="11"/>
                <w:szCs w:val="11"/>
              </w:rPr>
            </w:pPr>
            <w:r w:rsidRPr="00B12A32">
              <w:rPr>
                <w:rFonts w:ascii="Times New Roman" w:hAnsi="Times New Roman" w:cs="Times New Roman"/>
                <w:w w:val="105"/>
                <w:sz w:val="11"/>
              </w:rPr>
              <w:t>Site</w:t>
            </w:r>
            <w:r w:rsidRPr="00B12A32">
              <w:rPr>
                <w:rFonts w:ascii="Times New Roman" w:hAnsi="Times New Roman" w:cs="Times New Roman"/>
                <w:spacing w:val="-13"/>
                <w:w w:val="105"/>
                <w:sz w:val="11"/>
              </w:rPr>
              <w:t xml:space="preserve"> </w:t>
            </w:r>
            <w:r w:rsidRPr="00B12A32">
              <w:rPr>
                <w:rFonts w:ascii="Times New Roman" w:hAnsi="Times New Roman" w:cs="Times New Roman"/>
                <w:w w:val="105"/>
                <w:sz w:val="11"/>
              </w:rPr>
              <w:t>in</w:t>
            </w:r>
          </w:p>
        </w:tc>
        <w:tc>
          <w:tcPr>
            <w:tcW w:w="393" w:type="dxa"/>
            <w:tcBorders>
              <w:top w:val="nil"/>
              <w:left w:val="nil"/>
              <w:bottom w:val="nil"/>
              <w:right w:val="nil"/>
            </w:tcBorders>
          </w:tcPr>
          <w:p w:rsidR="00540C0B" w:rsidRPr="00B12A32" w:rsidRDefault="00540C0B" w:rsidP="00AE1B03">
            <w:pPr>
              <w:pStyle w:val="TableParagraph"/>
              <w:spacing w:before="7"/>
              <w:ind w:left="74"/>
              <w:rPr>
                <w:rFonts w:ascii="Times New Roman" w:eastAsia="Arial" w:hAnsi="Times New Roman" w:cs="Times New Roman"/>
                <w:sz w:val="11"/>
                <w:szCs w:val="11"/>
              </w:rPr>
            </w:pPr>
            <w:r w:rsidRPr="00B12A32">
              <w:rPr>
                <w:rFonts w:ascii="Times New Roman" w:hAnsi="Times New Roman" w:cs="Times New Roman"/>
                <w:w w:val="105"/>
                <w:sz w:val="11"/>
              </w:rPr>
              <w:t>Data</w:t>
            </w:r>
          </w:p>
        </w:tc>
        <w:tc>
          <w:tcPr>
            <w:tcW w:w="691" w:type="dxa"/>
            <w:tcBorders>
              <w:top w:val="nil"/>
              <w:left w:val="nil"/>
              <w:bottom w:val="nil"/>
              <w:right w:val="nil"/>
            </w:tcBorders>
          </w:tcPr>
          <w:p w:rsidR="00540C0B" w:rsidRPr="00B12A32" w:rsidRDefault="00540C0B" w:rsidP="00AE1B03">
            <w:pPr>
              <w:pStyle w:val="TableParagraph"/>
              <w:spacing w:before="7"/>
              <w:ind w:left="5"/>
              <w:rPr>
                <w:rFonts w:ascii="Times New Roman" w:eastAsia="Arial" w:hAnsi="Times New Roman" w:cs="Times New Roman"/>
                <w:sz w:val="11"/>
                <w:szCs w:val="11"/>
              </w:rPr>
            </w:pPr>
            <w:r w:rsidRPr="00B12A32">
              <w:rPr>
                <w:rFonts w:ascii="Times New Roman" w:hAnsi="Times New Roman" w:cs="Times New Roman"/>
                <w:w w:val="105"/>
                <w:sz w:val="11"/>
              </w:rPr>
              <w:t>Rock</w:t>
            </w:r>
          </w:p>
        </w:tc>
        <w:tc>
          <w:tcPr>
            <w:tcW w:w="524" w:type="dxa"/>
            <w:tcBorders>
              <w:top w:val="nil"/>
              <w:left w:val="nil"/>
              <w:bottom w:val="nil"/>
              <w:right w:val="nil"/>
            </w:tcBorders>
          </w:tcPr>
          <w:p w:rsidR="00540C0B" w:rsidRPr="00B12A32" w:rsidRDefault="00540C0B" w:rsidP="00AE1B03">
            <w:pPr>
              <w:pStyle w:val="TableParagraph"/>
              <w:spacing w:before="7"/>
              <w:ind w:left="138"/>
              <w:rPr>
                <w:rFonts w:ascii="Times New Roman" w:eastAsia="Arial" w:hAnsi="Times New Roman" w:cs="Times New Roman"/>
                <w:sz w:val="11"/>
                <w:szCs w:val="11"/>
              </w:rPr>
            </w:pPr>
            <w:r w:rsidRPr="00B12A32">
              <w:rPr>
                <w:rFonts w:ascii="Times New Roman" w:hAnsi="Times New Roman" w:cs="Times New Roman"/>
                <w:w w:val="105"/>
                <w:sz w:val="11"/>
              </w:rPr>
              <w:t>Note</w:t>
            </w:r>
          </w:p>
        </w:tc>
        <w:tc>
          <w:tcPr>
            <w:tcW w:w="424" w:type="dxa"/>
            <w:tcBorders>
              <w:top w:val="nil"/>
              <w:left w:val="nil"/>
              <w:bottom w:val="nil"/>
              <w:right w:val="nil"/>
            </w:tcBorders>
          </w:tcPr>
          <w:p w:rsidR="00540C0B" w:rsidRPr="00B12A32" w:rsidRDefault="00540C0B" w:rsidP="00AE1B03">
            <w:pPr>
              <w:pStyle w:val="TableParagraph"/>
              <w:spacing w:before="7"/>
              <w:ind w:left="24"/>
              <w:rPr>
                <w:rFonts w:ascii="Times New Roman" w:eastAsia="Arial" w:hAnsi="Times New Roman" w:cs="Times New Roman"/>
                <w:sz w:val="11"/>
                <w:szCs w:val="11"/>
              </w:rPr>
            </w:pPr>
            <w:r w:rsidRPr="00B12A32">
              <w:rPr>
                <w:rFonts w:ascii="Times New Roman" w:hAnsi="Times New Roman" w:cs="Times New Roman"/>
                <w:sz w:val="11"/>
              </w:rPr>
              <w:t>Sample</w:t>
            </w:r>
          </w:p>
        </w:tc>
        <w:tc>
          <w:tcPr>
            <w:tcW w:w="356" w:type="dxa"/>
            <w:tcBorders>
              <w:top w:val="nil"/>
              <w:left w:val="nil"/>
              <w:bottom w:val="nil"/>
              <w:right w:val="nil"/>
            </w:tcBorders>
          </w:tcPr>
          <w:p w:rsidR="00540C0B" w:rsidRPr="00B12A32" w:rsidRDefault="00540C0B" w:rsidP="00AE1B03">
            <w:pPr>
              <w:pStyle w:val="TableParagraph"/>
              <w:spacing w:before="7"/>
              <w:ind w:left="23"/>
              <w:rPr>
                <w:rFonts w:ascii="Times New Roman" w:eastAsia="Arial" w:hAnsi="Times New Roman" w:cs="Times New Roman"/>
                <w:sz w:val="11"/>
                <w:szCs w:val="11"/>
              </w:rPr>
            </w:pPr>
            <w:r w:rsidRPr="00B12A32">
              <w:rPr>
                <w:rFonts w:ascii="Times New Roman" w:hAnsi="Times New Roman" w:cs="Times New Roman"/>
                <w:w w:val="105"/>
                <w:sz w:val="11"/>
              </w:rPr>
              <w:t>Serial</w:t>
            </w:r>
          </w:p>
        </w:tc>
        <w:tc>
          <w:tcPr>
            <w:tcW w:w="444" w:type="dxa"/>
            <w:tcBorders>
              <w:top w:val="nil"/>
              <w:left w:val="nil"/>
              <w:bottom w:val="nil"/>
              <w:right w:val="nil"/>
            </w:tcBorders>
          </w:tcPr>
          <w:p w:rsidR="00540C0B" w:rsidRPr="00B12A32" w:rsidRDefault="00540C0B" w:rsidP="00AE1B03">
            <w:pPr>
              <w:pStyle w:val="TableParagraph"/>
              <w:spacing w:before="7"/>
              <w:ind w:left="42"/>
              <w:rPr>
                <w:rFonts w:ascii="Times New Roman" w:eastAsia="Arial" w:hAnsi="Times New Roman" w:cs="Times New Roman"/>
                <w:sz w:val="11"/>
                <w:szCs w:val="11"/>
              </w:rPr>
            </w:pPr>
            <w:r w:rsidRPr="00B12A32">
              <w:rPr>
                <w:rFonts w:ascii="Times New Roman" w:hAnsi="Times New Roman" w:cs="Times New Roman"/>
                <w:w w:val="105"/>
                <w:sz w:val="11"/>
              </w:rPr>
              <w:t>Whole</w:t>
            </w:r>
          </w:p>
        </w:tc>
        <w:tc>
          <w:tcPr>
            <w:tcW w:w="562" w:type="dxa"/>
            <w:tcBorders>
              <w:top w:val="nil"/>
              <w:left w:val="nil"/>
              <w:bottom w:val="nil"/>
              <w:right w:val="nil"/>
            </w:tcBorders>
          </w:tcPr>
          <w:p w:rsidR="00540C0B" w:rsidRPr="00B12A32" w:rsidRDefault="00540C0B" w:rsidP="00AE1B03">
            <w:pPr>
              <w:pStyle w:val="TableParagraph"/>
              <w:spacing w:before="7"/>
              <w:ind w:left="13"/>
              <w:rPr>
                <w:rFonts w:ascii="Times New Roman" w:eastAsia="Arial" w:hAnsi="Times New Roman" w:cs="Times New Roman"/>
                <w:sz w:val="11"/>
                <w:szCs w:val="11"/>
              </w:rPr>
            </w:pPr>
            <w:r w:rsidRPr="00B12A32">
              <w:rPr>
                <w:rFonts w:ascii="Times New Roman" w:hAnsi="Times New Roman" w:cs="Times New Roman"/>
                <w:w w:val="105"/>
                <w:sz w:val="11"/>
              </w:rPr>
              <w:t>Mineral</w:t>
            </w:r>
          </w:p>
        </w:tc>
        <w:tc>
          <w:tcPr>
            <w:tcW w:w="337" w:type="dxa"/>
            <w:tcBorders>
              <w:top w:val="nil"/>
              <w:left w:val="nil"/>
              <w:bottom w:val="nil"/>
              <w:right w:val="nil"/>
            </w:tcBorders>
          </w:tcPr>
          <w:p w:rsidR="00540C0B" w:rsidRPr="00B12A32" w:rsidRDefault="00540C0B" w:rsidP="00AE1B03">
            <w:pPr>
              <w:pStyle w:val="TableParagraph"/>
              <w:spacing w:before="7"/>
              <w:ind w:left="44"/>
              <w:rPr>
                <w:rFonts w:ascii="Times New Roman" w:eastAsia="Arial" w:hAnsi="Times New Roman" w:cs="Times New Roman"/>
                <w:sz w:val="11"/>
                <w:szCs w:val="11"/>
              </w:rPr>
            </w:pPr>
            <w:r w:rsidRPr="00B12A32">
              <w:rPr>
                <w:rFonts w:ascii="Times New Roman" w:hAnsi="Times New Roman" w:cs="Times New Roman"/>
                <w:w w:val="105"/>
                <w:sz w:val="11"/>
              </w:rPr>
              <w:t>SiO2</w:t>
            </w:r>
          </w:p>
        </w:tc>
        <w:tc>
          <w:tcPr>
            <w:tcW w:w="296" w:type="dxa"/>
            <w:tcBorders>
              <w:top w:val="nil"/>
              <w:left w:val="nil"/>
              <w:bottom w:val="nil"/>
              <w:right w:val="nil"/>
            </w:tcBorders>
          </w:tcPr>
          <w:p w:rsidR="00540C0B" w:rsidRPr="00B12A32" w:rsidRDefault="00540C0B" w:rsidP="00AE1B03">
            <w:pPr>
              <w:pStyle w:val="TableParagraph"/>
              <w:spacing w:before="7"/>
              <w:ind w:left="28"/>
              <w:rPr>
                <w:rFonts w:ascii="Times New Roman" w:eastAsia="Arial" w:hAnsi="Times New Roman" w:cs="Times New Roman"/>
                <w:sz w:val="11"/>
                <w:szCs w:val="11"/>
              </w:rPr>
            </w:pPr>
            <w:r w:rsidRPr="00B12A32">
              <w:rPr>
                <w:rFonts w:ascii="Times New Roman" w:hAnsi="Times New Roman" w:cs="Times New Roman"/>
                <w:w w:val="105"/>
                <w:sz w:val="11"/>
              </w:rPr>
              <w:t>TiO2</w:t>
            </w:r>
          </w:p>
        </w:tc>
        <w:tc>
          <w:tcPr>
            <w:tcW w:w="353" w:type="dxa"/>
            <w:tcBorders>
              <w:top w:val="nil"/>
              <w:left w:val="nil"/>
              <w:bottom w:val="nil"/>
              <w:right w:val="nil"/>
            </w:tcBorders>
          </w:tcPr>
          <w:p w:rsidR="00540C0B" w:rsidRPr="00B12A32" w:rsidRDefault="00540C0B" w:rsidP="00AE1B03">
            <w:pPr>
              <w:pStyle w:val="TableParagraph"/>
              <w:spacing w:before="7"/>
              <w:ind w:left="24"/>
              <w:rPr>
                <w:rFonts w:ascii="Times New Roman" w:eastAsia="Arial" w:hAnsi="Times New Roman" w:cs="Times New Roman"/>
                <w:sz w:val="11"/>
                <w:szCs w:val="11"/>
              </w:rPr>
            </w:pPr>
            <w:r w:rsidRPr="00B12A32">
              <w:rPr>
                <w:rFonts w:ascii="Times New Roman" w:hAnsi="Times New Roman" w:cs="Times New Roman"/>
                <w:w w:val="105"/>
                <w:sz w:val="11"/>
              </w:rPr>
              <w:t>Al2O3</w:t>
            </w:r>
          </w:p>
        </w:tc>
        <w:tc>
          <w:tcPr>
            <w:tcW w:w="385" w:type="dxa"/>
            <w:tcBorders>
              <w:top w:val="nil"/>
              <w:left w:val="nil"/>
              <w:bottom w:val="nil"/>
              <w:right w:val="nil"/>
            </w:tcBorders>
          </w:tcPr>
          <w:p w:rsidR="00540C0B" w:rsidRPr="00B12A32" w:rsidRDefault="00540C0B" w:rsidP="00AE1B03">
            <w:pPr>
              <w:pStyle w:val="TableParagraph"/>
              <w:spacing w:before="7"/>
              <w:ind w:left="16"/>
              <w:rPr>
                <w:rFonts w:ascii="Times New Roman" w:eastAsia="Arial" w:hAnsi="Times New Roman" w:cs="Times New Roman"/>
                <w:sz w:val="11"/>
                <w:szCs w:val="11"/>
              </w:rPr>
            </w:pPr>
            <w:r w:rsidRPr="00B12A32">
              <w:rPr>
                <w:rFonts w:ascii="Times New Roman" w:hAnsi="Times New Roman" w:cs="Times New Roman"/>
                <w:w w:val="105"/>
                <w:sz w:val="11"/>
              </w:rPr>
              <w:t>Fe2O3</w:t>
            </w:r>
          </w:p>
        </w:tc>
        <w:tc>
          <w:tcPr>
            <w:tcW w:w="331" w:type="dxa"/>
            <w:tcBorders>
              <w:top w:val="nil"/>
              <w:left w:val="nil"/>
              <w:bottom w:val="nil"/>
              <w:right w:val="nil"/>
            </w:tcBorders>
          </w:tcPr>
          <w:p w:rsidR="00540C0B" w:rsidRPr="00B12A32" w:rsidRDefault="00540C0B" w:rsidP="00AE1B03">
            <w:pPr>
              <w:pStyle w:val="TableParagraph"/>
              <w:spacing w:before="7"/>
              <w:ind w:left="51"/>
              <w:rPr>
                <w:rFonts w:ascii="Times New Roman" w:eastAsia="Arial" w:hAnsi="Times New Roman" w:cs="Times New Roman"/>
                <w:sz w:val="11"/>
                <w:szCs w:val="11"/>
              </w:rPr>
            </w:pPr>
            <w:r w:rsidRPr="00B12A32">
              <w:rPr>
                <w:rFonts w:ascii="Times New Roman" w:hAnsi="Times New Roman" w:cs="Times New Roman"/>
                <w:w w:val="105"/>
                <w:sz w:val="11"/>
              </w:rPr>
              <w:t>FeO</w:t>
            </w:r>
          </w:p>
        </w:tc>
        <w:tc>
          <w:tcPr>
            <w:tcW w:w="302" w:type="dxa"/>
            <w:tcBorders>
              <w:top w:val="nil"/>
              <w:left w:val="nil"/>
              <w:bottom w:val="nil"/>
              <w:right w:val="nil"/>
            </w:tcBorders>
          </w:tcPr>
          <w:p w:rsidR="00540C0B" w:rsidRPr="00B12A32" w:rsidRDefault="00540C0B" w:rsidP="00AE1B03">
            <w:pPr>
              <w:pStyle w:val="TableParagraph"/>
              <w:spacing w:before="7"/>
              <w:ind w:left="27"/>
              <w:rPr>
                <w:rFonts w:ascii="Times New Roman" w:eastAsia="Arial" w:hAnsi="Times New Roman" w:cs="Times New Roman"/>
                <w:sz w:val="11"/>
                <w:szCs w:val="11"/>
              </w:rPr>
            </w:pPr>
            <w:r w:rsidRPr="00B12A32">
              <w:rPr>
                <w:rFonts w:ascii="Times New Roman" w:hAnsi="Times New Roman" w:cs="Times New Roman"/>
                <w:w w:val="105"/>
                <w:sz w:val="11"/>
              </w:rPr>
              <w:t>MnO</w:t>
            </w:r>
          </w:p>
        </w:tc>
        <w:tc>
          <w:tcPr>
            <w:tcW w:w="350" w:type="dxa"/>
            <w:tcBorders>
              <w:top w:val="nil"/>
              <w:left w:val="nil"/>
              <w:bottom w:val="nil"/>
              <w:right w:val="nil"/>
            </w:tcBorders>
          </w:tcPr>
          <w:p w:rsidR="00540C0B" w:rsidRPr="00B12A32" w:rsidRDefault="00540C0B" w:rsidP="00AE1B03">
            <w:pPr>
              <w:pStyle w:val="TableParagraph"/>
              <w:spacing w:before="7"/>
              <w:ind w:left="47"/>
              <w:rPr>
                <w:rFonts w:ascii="Times New Roman" w:eastAsia="Arial" w:hAnsi="Times New Roman" w:cs="Times New Roman"/>
                <w:sz w:val="11"/>
                <w:szCs w:val="11"/>
              </w:rPr>
            </w:pPr>
            <w:r w:rsidRPr="00B12A32">
              <w:rPr>
                <w:rFonts w:ascii="Times New Roman" w:hAnsi="Times New Roman" w:cs="Times New Roman"/>
                <w:w w:val="105"/>
                <w:sz w:val="11"/>
              </w:rPr>
              <w:t>MgO</w:t>
            </w:r>
          </w:p>
        </w:tc>
        <w:tc>
          <w:tcPr>
            <w:tcW w:w="341" w:type="dxa"/>
            <w:tcBorders>
              <w:top w:val="nil"/>
              <w:left w:val="nil"/>
              <w:bottom w:val="nil"/>
              <w:right w:val="nil"/>
            </w:tcBorders>
          </w:tcPr>
          <w:p w:rsidR="00540C0B" w:rsidRPr="00B12A32" w:rsidRDefault="00540C0B" w:rsidP="00AE1B03">
            <w:pPr>
              <w:pStyle w:val="TableParagraph"/>
              <w:spacing w:before="7"/>
              <w:ind w:left="62"/>
              <w:rPr>
                <w:rFonts w:ascii="Times New Roman" w:eastAsia="Arial" w:hAnsi="Times New Roman" w:cs="Times New Roman"/>
                <w:sz w:val="11"/>
                <w:szCs w:val="11"/>
              </w:rPr>
            </w:pPr>
            <w:r w:rsidRPr="00B12A32">
              <w:rPr>
                <w:rFonts w:ascii="Times New Roman" w:hAnsi="Times New Roman" w:cs="Times New Roman"/>
                <w:w w:val="105"/>
                <w:sz w:val="11"/>
              </w:rPr>
              <w:t>CaO</w:t>
            </w:r>
          </w:p>
        </w:tc>
        <w:tc>
          <w:tcPr>
            <w:tcW w:w="346" w:type="dxa"/>
            <w:tcBorders>
              <w:top w:val="nil"/>
              <w:left w:val="nil"/>
              <w:bottom w:val="nil"/>
              <w:right w:val="nil"/>
            </w:tcBorders>
          </w:tcPr>
          <w:p w:rsidR="00540C0B" w:rsidRPr="00B12A32" w:rsidRDefault="00540C0B" w:rsidP="00AE1B03">
            <w:pPr>
              <w:pStyle w:val="TableParagraph"/>
              <w:spacing w:before="7"/>
              <w:ind w:left="21"/>
              <w:rPr>
                <w:rFonts w:ascii="Times New Roman" w:eastAsia="Arial" w:hAnsi="Times New Roman" w:cs="Times New Roman"/>
                <w:sz w:val="11"/>
                <w:szCs w:val="11"/>
              </w:rPr>
            </w:pPr>
            <w:r w:rsidRPr="00B12A32">
              <w:rPr>
                <w:rFonts w:ascii="Times New Roman" w:hAnsi="Times New Roman" w:cs="Times New Roman"/>
                <w:w w:val="105"/>
                <w:sz w:val="11"/>
              </w:rPr>
              <w:t>Na2O</w:t>
            </w:r>
          </w:p>
        </w:tc>
        <w:tc>
          <w:tcPr>
            <w:tcW w:w="346" w:type="dxa"/>
            <w:tcBorders>
              <w:top w:val="nil"/>
              <w:left w:val="nil"/>
              <w:bottom w:val="nil"/>
              <w:right w:val="nil"/>
            </w:tcBorders>
          </w:tcPr>
          <w:p w:rsidR="00540C0B" w:rsidRPr="00B12A32" w:rsidRDefault="00540C0B" w:rsidP="00AE1B03">
            <w:pPr>
              <w:pStyle w:val="TableParagraph"/>
              <w:spacing w:before="7"/>
              <w:ind w:left="59"/>
              <w:rPr>
                <w:rFonts w:ascii="Times New Roman" w:eastAsia="Arial" w:hAnsi="Times New Roman" w:cs="Times New Roman"/>
                <w:sz w:val="11"/>
                <w:szCs w:val="11"/>
              </w:rPr>
            </w:pPr>
            <w:r w:rsidRPr="00B12A32">
              <w:rPr>
                <w:rFonts w:ascii="Times New Roman" w:hAnsi="Times New Roman" w:cs="Times New Roman"/>
                <w:w w:val="105"/>
                <w:sz w:val="11"/>
              </w:rPr>
              <w:t>K2O</w:t>
            </w:r>
          </w:p>
        </w:tc>
        <w:tc>
          <w:tcPr>
            <w:tcW w:w="347" w:type="dxa"/>
            <w:tcBorders>
              <w:top w:val="nil"/>
              <w:left w:val="nil"/>
              <w:bottom w:val="nil"/>
              <w:right w:val="nil"/>
            </w:tcBorders>
          </w:tcPr>
          <w:p w:rsidR="00540C0B" w:rsidRPr="00B12A32" w:rsidRDefault="00540C0B" w:rsidP="00AE1B03">
            <w:pPr>
              <w:pStyle w:val="TableParagraph"/>
              <w:spacing w:before="7"/>
              <w:ind w:left="34"/>
              <w:rPr>
                <w:rFonts w:ascii="Times New Roman" w:eastAsia="Arial" w:hAnsi="Times New Roman" w:cs="Times New Roman"/>
                <w:sz w:val="11"/>
                <w:szCs w:val="11"/>
              </w:rPr>
            </w:pPr>
            <w:r w:rsidRPr="00B12A32">
              <w:rPr>
                <w:rFonts w:ascii="Times New Roman" w:hAnsi="Times New Roman" w:cs="Times New Roman"/>
                <w:w w:val="105"/>
                <w:sz w:val="11"/>
              </w:rPr>
              <w:t>P2O5</w:t>
            </w:r>
          </w:p>
        </w:tc>
        <w:tc>
          <w:tcPr>
            <w:tcW w:w="349" w:type="dxa"/>
            <w:tcBorders>
              <w:top w:val="nil"/>
              <w:left w:val="nil"/>
              <w:bottom w:val="nil"/>
              <w:right w:val="nil"/>
            </w:tcBorders>
          </w:tcPr>
          <w:p w:rsidR="00540C0B" w:rsidRPr="00B12A32" w:rsidRDefault="00540C0B" w:rsidP="00AE1B03">
            <w:pPr>
              <w:pStyle w:val="TableParagraph"/>
              <w:spacing w:before="7"/>
              <w:ind w:left="74"/>
              <w:rPr>
                <w:rFonts w:ascii="Times New Roman" w:eastAsia="Arial" w:hAnsi="Times New Roman" w:cs="Times New Roman"/>
                <w:sz w:val="11"/>
                <w:szCs w:val="11"/>
              </w:rPr>
            </w:pPr>
            <w:r w:rsidRPr="00B12A32">
              <w:rPr>
                <w:rFonts w:ascii="Times New Roman" w:hAnsi="Times New Roman" w:cs="Times New Roman"/>
                <w:w w:val="105"/>
                <w:sz w:val="11"/>
              </w:rPr>
              <w:t>LOI</w:t>
            </w:r>
          </w:p>
        </w:tc>
        <w:tc>
          <w:tcPr>
            <w:tcW w:w="424" w:type="dxa"/>
            <w:tcBorders>
              <w:top w:val="nil"/>
              <w:left w:val="nil"/>
              <w:bottom w:val="nil"/>
              <w:right w:val="nil"/>
            </w:tcBorders>
          </w:tcPr>
          <w:p w:rsidR="00540C0B" w:rsidRPr="00B12A32" w:rsidRDefault="00540C0B" w:rsidP="00AE1B03">
            <w:pPr>
              <w:pStyle w:val="TableParagraph"/>
              <w:spacing w:before="7"/>
              <w:ind w:left="102"/>
              <w:rPr>
                <w:rFonts w:ascii="Times New Roman" w:eastAsia="Arial" w:hAnsi="Times New Roman" w:cs="Times New Roman"/>
                <w:sz w:val="11"/>
                <w:szCs w:val="11"/>
              </w:rPr>
            </w:pPr>
            <w:r w:rsidRPr="00B12A32">
              <w:rPr>
                <w:rFonts w:ascii="Times New Roman" w:hAnsi="Times New Roman" w:cs="Times New Roman"/>
                <w:w w:val="105"/>
                <w:sz w:val="11"/>
              </w:rPr>
              <w:t>Sum</w:t>
            </w:r>
          </w:p>
        </w:tc>
        <w:tc>
          <w:tcPr>
            <w:tcW w:w="343" w:type="dxa"/>
            <w:tcBorders>
              <w:top w:val="nil"/>
              <w:left w:val="nil"/>
              <w:bottom w:val="nil"/>
              <w:right w:val="nil"/>
            </w:tcBorders>
          </w:tcPr>
          <w:p w:rsidR="00540C0B" w:rsidRPr="00B12A32" w:rsidRDefault="00540C0B" w:rsidP="00AE1B03">
            <w:pPr>
              <w:pStyle w:val="TableParagraph"/>
              <w:spacing w:before="7"/>
              <w:ind w:left="105"/>
              <w:rPr>
                <w:rFonts w:ascii="Times New Roman" w:eastAsia="Arial" w:hAnsi="Times New Roman" w:cs="Times New Roman"/>
                <w:sz w:val="11"/>
                <w:szCs w:val="11"/>
              </w:rPr>
            </w:pPr>
            <w:r w:rsidRPr="00B12A32">
              <w:rPr>
                <w:rFonts w:ascii="Times New Roman" w:hAnsi="Times New Roman" w:cs="Times New Roman"/>
                <w:w w:val="105"/>
                <w:sz w:val="11"/>
              </w:rPr>
              <w:t>Rb</w:t>
            </w:r>
          </w:p>
        </w:tc>
        <w:tc>
          <w:tcPr>
            <w:tcW w:w="379" w:type="dxa"/>
            <w:tcBorders>
              <w:top w:val="nil"/>
              <w:left w:val="nil"/>
              <w:bottom w:val="nil"/>
              <w:right w:val="nil"/>
            </w:tcBorders>
          </w:tcPr>
          <w:p w:rsidR="00540C0B" w:rsidRPr="00B12A32" w:rsidRDefault="00540C0B" w:rsidP="00AE1B03">
            <w:pPr>
              <w:pStyle w:val="TableParagraph"/>
              <w:spacing w:before="7"/>
              <w:ind w:left="110"/>
              <w:rPr>
                <w:rFonts w:ascii="Times New Roman" w:eastAsia="Arial" w:hAnsi="Times New Roman" w:cs="Times New Roman"/>
                <w:sz w:val="11"/>
                <w:szCs w:val="11"/>
              </w:rPr>
            </w:pPr>
            <w:r w:rsidRPr="00B12A32">
              <w:rPr>
                <w:rFonts w:ascii="Times New Roman" w:hAnsi="Times New Roman" w:cs="Times New Roman"/>
                <w:w w:val="105"/>
                <w:sz w:val="11"/>
              </w:rPr>
              <w:t>Sr</w:t>
            </w:r>
          </w:p>
        </w:tc>
        <w:tc>
          <w:tcPr>
            <w:tcW w:w="275" w:type="dxa"/>
            <w:tcBorders>
              <w:top w:val="nil"/>
              <w:left w:val="nil"/>
              <w:bottom w:val="nil"/>
              <w:right w:val="nil"/>
            </w:tcBorders>
          </w:tcPr>
          <w:p w:rsidR="00540C0B" w:rsidRPr="00B12A32" w:rsidRDefault="00540C0B" w:rsidP="00AE1B03">
            <w:pPr>
              <w:pStyle w:val="TableParagraph"/>
              <w:spacing w:before="7"/>
              <w:ind w:left="91"/>
              <w:rPr>
                <w:rFonts w:ascii="Times New Roman" w:eastAsia="Arial" w:hAnsi="Times New Roman" w:cs="Times New Roman"/>
                <w:sz w:val="11"/>
                <w:szCs w:val="11"/>
              </w:rPr>
            </w:pPr>
            <w:r w:rsidRPr="00B12A32">
              <w:rPr>
                <w:rFonts w:ascii="Times New Roman" w:hAnsi="Times New Roman" w:cs="Times New Roman"/>
                <w:w w:val="102"/>
                <w:sz w:val="11"/>
              </w:rPr>
              <w:t>Y</w:t>
            </w:r>
          </w:p>
        </w:tc>
        <w:tc>
          <w:tcPr>
            <w:tcW w:w="316" w:type="dxa"/>
            <w:tcBorders>
              <w:top w:val="nil"/>
              <w:left w:val="nil"/>
              <w:bottom w:val="nil"/>
              <w:right w:val="nil"/>
            </w:tcBorders>
          </w:tcPr>
          <w:p w:rsidR="00540C0B" w:rsidRPr="00B12A32" w:rsidRDefault="00540C0B" w:rsidP="00AE1B03">
            <w:pPr>
              <w:pStyle w:val="TableParagraph"/>
              <w:spacing w:before="7"/>
              <w:ind w:left="125"/>
              <w:rPr>
                <w:rFonts w:ascii="Times New Roman" w:eastAsia="Arial" w:hAnsi="Times New Roman" w:cs="Times New Roman"/>
                <w:sz w:val="11"/>
                <w:szCs w:val="11"/>
              </w:rPr>
            </w:pPr>
            <w:r w:rsidRPr="00B12A32">
              <w:rPr>
                <w:rFonts w:ascii="Times New Roman" w:hAnsi="Times New Roman" w:cs="Times New Roman"/>
                <w:w w:val="105"/>
                <w:sz w:val="11"/>
              </w:rPr>
              <w:t>Zr</w:t>
            </w:r>
          </w:p>
        </w:tc>
        <w:tc>
          <w:tcPr>
            <w:tcW w:w="225" w:type="dxa"/>
            <w:tcBorders>
              <w:top w:val="nil"/>
              <w:left w:val="nil"/>
              <w:bottom w:val="nil"/>
              <w:right w:val="nil"/>
            </w:tcBorders>
          </w:tcPr>
          <w:p w:rsidR="00540C0B" w:rsidRPr="00B12A32" w:rsidRDefault="00540C0B" w:rsidP="00AE1B03">
            <w:pPr>
              <w:pStyle w:val="TableParagraph"/>
              <w:spacing w:before="7"/>
              <w:ind w:left="43"/>
              <w:rPr>
                <w:rFonts w:ascii="Times New Roman" w:eastAsia="Arial" w:hAnsi="Times New Roman" w:cs="Times New Roman"/>
                <w:sz w:val="11"/>
                <w:szCs w:val="11"/>
              </w:rPr>
            </w:pPr>
            <w:r w:rsidRPr="00B12A32">
              <w:rPr>
                <w:rFonts w:ascii="Times New Roman" w:hAnsi="Times New Roman" w:cs="Times New Roman"/>
                <w:w w:val="105"/>
                <w:sz w:val="11"/>
              </w:rPr>
              <w:t>Nb</w:t>
            </w:r>
          </w:p>
        </w:tc>
        <w:tc>
          <w:tcPr>
            <w:tcW w:w="296" w:type="dxa"/>
            <w:tcBorders>
              <w:top w:val="nil"/>
              <w:left w:val="nil"/>
              <w:bottom w:val="nil"/>
              <w:right w:val="nil"/>
            </w:tcBorders>
          </w:tcPr>
          <w:p w:rsidR="00540C0B" w:rsidRPr="00B12A32" w:rsidRDefault="00540C0B" w:rsidP="00AE1B03">
            <w:pPr>
              <w:pStyle w:val="TableParagraph"/>
              <w:spacing w:before="7"/>
              <w:ind w:left="84"/>
              <w:rPr>
                <w:rFonts w:ascii="Times New Roman" w:eastAsia="Arial" w:hAnsi="Times New Roman" w:cs="Times New Roman"/>
                <w:sz w:val="11"/>
                <w:szCs w:val="11"/>
              </w:rPr>
            </w:pPr>
            <w:r w:rsidRPr="00B12A32">
              <w:rPr>
                <w:rFonts w:ascii="Times New Roman" w:hAnsi="Times New Roman" w:cs="Times New Roman"/>
                <w:w w:val="105"/>
                <w:sz w:val="11"/>
              </w:rPr>
              <w:t>La</w:t>
            </w:r>
          </w:p>
        </w:tc>
        <w:tc>
          <w:tcPr>
            <w:tcW w:w="341" w:type="dxa"/>
            <w:tcBorders>
              <w:top w:val="nil"/>
              <w:left w:val="nil"/>
              <w:bottom w:val="nil"/>
              <w:right w:val="nil"/>
            </w:tcBorders>
          </w:tcPr>
          <w:p w:rsidR="00540C0B" w:rsidRPr="00B12A32" w:rsidRDefault="00540C0B" w:rsidP="00AE1B03">
            <w:pPr>
              <w:pStyle w:val="TableParagraph"/>
              <w:spacing w:before="7"/>
              <w:ind w:left="110"/>
              <w:rPr>
                <w:rFonts w:ascii="Times New Roman" w:eastAsia="Arial" w:hAnsi="Times New Roman" w:cs="Times New Roman"/>
                <w:sz w:val="11"/>
                <w:szCs w:val="11"/>
              </w:rPr>
            </w:pPr>
            <w:r w:rsidRPr="00B12A32">
              <w:rPr>
                <w:rFonts w:ascii="Times New Roman" w:hAnsi="Times New Roman" w:cs="Times New Roman"/>
                <w:w w:val="105"/>
                <w:sz w:val="11"/>
              </w:rPr>
              <w:t>Ce</w:t>
            </w:r>
          </w:p>
        </w:tc>
        <w:tc>
          <w:tcPr>
            <w:tcW w:w="312" w:type="dxa"/>
            <w:tcBorders>
              <w:top w:val="nil"/>
              <w:left w:val="nil"/>
              <w:bottom w:val="nil"/>
              <w:right w:val="nil"/>
            </w:tcBorders>
          </w:tcPr>
          <w:p w:rsidR="00540C0B" w:rsidRPr="00B12A32" w:rsidRDefault="00540C0B" w:rsidP="00AE1B03">
            <w:pPr>
              <w:pStyle w:val="TableParagraph"/>
              <w:spacing w:before="7"/>
              <w:ind w:left="91"/>
              <w:rPr>
                <w:rFonts w:ascii="Times New Roman" w:eastAsia="Arial" w:hAnsi="Times New Roman" w:cs="Times New Roman"/>
                <w:sz w:val="11"/>
                <w:szCs w:val="11"/>
              </w:rPr>
            </w:pPr>
            <w:r w:rsidRPr="00B12A32">
              <w:rPr>
                <w:rFonts w:ascii="Times New Roman" w:hAnsi="Times New Roman" w:cs="Times New Roman"/>
                <w:w w:val="105"/>
                <w:sz w:val="11"/>
              </w:rPr>
              <w:t>Nd</w:t>
            </w:r>
          </w:p>
        </w:tc>
        <w:tc>
          <w:tcPr>
            <w:tcW w:w="297" w:type="dxa"/>
            <w:tcBorders>
              <w:top w:val="nil"/>
              <w:left w:val="nil"/>
              <w:bottom w:val="nil"/>
              <w:right w:val="nil"/>
            </w:tcBorders>
          </w:tcPr>
          <w:p w:rsidR="00540C0B" w:rsidRPr="00B12A32" w:rsidRDefault="00540C0B" w:rsidP="00AE1B03">
            <w:pPr>
              <w:pStyle w:val="TableParagraph"/>
              <w:spacing w:before="7"/>
              <w:ind w:left="69"/>
              <w:rPr>
                <w:rFonts w:ascii="Times New Roman" w:eastAsia="Arial" w:hAnsi="Times New Roman" w:cs="Times New Roman"/>
                <w:sz w:val="11"/>
                <w:szCs w:val="11"/>
              </w:rPr>
            </w:pPr>
            <w:r w:rsidRPr="00B12A32">
              <w:rPr>
                <w:rFonts w:ascii="Times New Roman" w:hAnsi="Times New Roman" w:cs="Times New Roman"/>
                <w:w w:val="105"/>
                <w:sz w:val="11"/>
              </w:rPr>
              <w:t>Sm</w:t>
            </w:r>
          </w:p>
        </w:tc>
        <w:tc>
          <w:tcPr>
            <w:tcW w:w="293" w:type="dxa"/>
            <w:tcBorders>
              <w:top w:val="nil"/>
              <w:left w:val="nil"/>
              <w:bottom w:val="nil"/>
              <w:right w:val="nil"/>
            </w:tcBorders>
          </w:tcPr>
          <w:p w:rsidR="00540C0B" w:rsidRPr="00B12A32" w:rsidRDefault="00540C0B" w:rsidP="00AE1B03">
            <w:pPr>
              <w:pStyle w:val="TableParagraph"/>
              <w:spacing w:before="7"/>
              <w:ind w:left="75"/>
              <w:rPr>
                <w:rFonts w:ascii="Times New Roman" w:eastAsia="Arial" w:hAnsi="Times New Roman" w:cs="Times New Roman"/>
                <w:sz w:val="11"/>
                <w:szCs w:val="11"/>
              </w:rPr>
            </w:pPr>
            <w:r w:rsidRPr="00B12A32">
              <w:rPr>
                <w:rFonts w:ascii="Times New Roman" w:hAnsi="Times New Roman" w:cs="Times New Roman"/>
                <w:w w:val="105"/>
                <w:sz w:val="11"/>
              </w:rPr>
              <w:t>Eu</w:t>
            </w:r>
          </w:p>
        </w:tc>
        <w:tc>
          <w:tcPr>
            <w:tcW w:w="299" w:type="dxa"/>
            <w:tcBorders>
              <w:top w:val="nil"/>
              <w:left w:val="nil"/>
              <w:bottom w:val="nil"/>
              <w:right w:val="nil"/>
            </w:tcBorders>
          </w:tcPr>
          <w:p w:rsidR="00540C0B" w:rsidRPr="00B12A32" w:rsidRDefault="00540C0B" w:rsidP="00AE1B03">
            <w:pPr>
              <w:pStyle w:val="TableParagraph"/>
              <w:spacing w:before="7"/>
              <w:ind w:left="73"/>
              <w:rPr>
                <w:rFonts w:ascii="Times New Roman" w:eastAsia="Arial" w:hAnsi="Times New Roman" w:cs="Times New Roman"/>
                <w:sz w:val="11"/>
                <w:szCs w:val="11"/>
              </w:rPr>
            </w:pPr>
            <w:r w:rsidRPr="00B12A32">
              <w:rPr>
                <w:rFonts w:ascii="Times New Roman" w:hAnsi="Times New Roman" w:cs="Times New Roman"/>
                <w:w w:val="105"/>
                <w:sz w:val="11"/>
              </w:rPr>
              <w:t>Gd</w:t>
            </w:r>
          </w:p>
        </w:tc>
        <w:tc>
          <w:tcPr>
            <w:tcW w:w="299" w:type="dxa"/>
            <w:tcBorders>
              <w:top w:val="nil"/>
              <w:left w:val="nil"/>
              <w:bottom w:val="nil"/>
              <w:right w:val="nil"/>
            </w:tcBorders>
          </w:tcPr>
          <w:p w:rsidR="00540C0B" w:rsidRPr="00B12A32" w:rsidRDefault="00540C0B" w:rsidP="00AE1B03">
            <w:pPr>
              <w:pStyle w:val="TableParagraph"/>
              <w:spacing w:before="7"/>
              <w:ind w:left="81"/>
              <w:rPr>
                <w:rFonts w:ascii="Times New Roman" w:eastAsia="Arial" w:hAnsi="Times New Roman" w:cs="Times New Roman"/>
                <w:sz w:val="11"/>
                <w:szCs w:val="11"/>
              </w:rPr>
            </w:pPr>
            <w:r w:rsidRPr="00B12A32">
              <w:rPr>
                <w:rFonts w:ascii="Times New Roman" w:hAnsi="Times New Roman" w:cs="Times New Roman"/>
                <w:w w:val="105"/>
                <w:sz w:val="11"/>
              </w:rPr>
              <w:t>Dy</w:t>
            </w:r>
          </w:p>
        </w:tc>
        <w:tc>
          <w:tcPr>
            <w:tcW w:w="298" w:type="dxa"/>
            <w:tcBorders>
              <w:top w:val="nil"/>
              <w:left w:val="nil"/>
              <w:bottom w:val="nil"/>
              <w:right w:val="nil"/>
            </w:tcBorders>
          </w:tcPr>
          <w:p w:rsidR="00540C0B" w:rsidRPr="00B12A32" w:rsidRDefault="00540C0B" w:rsidP="00AE1B03">
            <w:pPr>
              <w:pStyle w:val="TableParagraph"/>
              <w:spacing w:before="7"/>
              <w:ind w:left="80"/>
              <w:rPr>
                <w:rFonts w:ascii="Times New Roman" w:eastAsia="Arial" w:hAnsi="Times New Roman" w:cs="Times New Roman"/>
                <w:sz w:val="11"/>
                <w:szCs w:val="11"/>
              </w:rPr>
            </w:pPr>
            <w:r w:rsidRPr="00B12A32">
              <w:rPr>
                <w:rFonts w:ascii="Times New Roman" w:hAnsi="Times New Roman" w:cs="Times New Roman"/>
                <w:spacing w:val="-4"/>
                <w:w w:val="105"/>
                <w:sz w:val="11"/>
              </w:rPr>
              <w:t>Yb</w:t>
            </w:r>
          </w:p>
        </w:tc>
        <w:tc>
          <w:tcPr>
            <w:tcW w:w="289" w:type="dxa"/>
            <w:tcBorders>
              <w:top w:val="nil"/>
              <w:left w:val="nil"/>
              <w:bottom w:val="nil"/>
              <w:right w:val="nil"/>
            </w:tcBorders>
          </w:tcPr>
          <w:p w:rsidR="00540C0B" w:rsidRPr="00B12A32" w:rsidRDefault="00540C0B" w:rsidP="00AE1B03">
            <w:pPr>
              <w:pStyle w:val="TableParagraph"/>
              <w:spacing w:before="7"/>
              <w:ind w:left="80"/>
              <w:rPr>
                <w:rFonts w:ascii="Times New Roman" w:eastAsia="Arial" w:hAnsi="Times New Roman" w:cs="Times New Roman"/>
                <w:sz w:val="11"/>
                <w:szCs w:val="11"/>
              </w:rPr>
            </w:pPr>
            <w:r w:rsidRPr="00B12A32">
              <w:rPr>
                <w:rFonts w:ascii="Times New Roman" w:hAnsi="Times New Roman" w:cs="Times New Roman"/>
                <w:w w:val="105"/>
                <w:sz w:val="11"/>
              </w:rPr>
              <w:t>Ni</w:t>
            </w:r>
          </w:p>
        </w:tc>
        <w:tc>
          <w:tcPr>
            <w:tcW w:w="214" w:type="dxa"/>
            <w:tcBorders>
              <w:top w:val="nil"/>
              <w:left w:val="nil"/>
              <w:bottom w:val="nil"/>
              <w:right w:val="single" w:sz="4" w:space="0" w:color="000000"/>
            </w:tcBorders>
          </w:tcPr>
          <w:p w:rsidR="00540C0B" w:rsidRPr="00B12A32" w:rsidRDefault="00540C0B" w:rsidP="00AE1B03">
            <w:pPr>
              <w:pStyle w:val="TableParagraph"/>
              <w:spacing w:before="7"/>
              <w:ind w:left="67"/>
              <w:rPr>
                <w:rFonts w:ascii="Times New Roman" w:eastAsia="Arial" w:hAnsi="Times New Roman" w:cs="Times New Roman"/>
                <w:sz w:val="11"/>
                <w:szCs w:val="11"/>
              </w:rPr>
            </w:pPr>
            <w:r w:rsidRPr="00B12A32">
              <w:rPr>
                <w:rFonts w:ascii="Times New Roman" w:hAnsi="Times New Roman" w:cs="Times New Roman"/>
                <w:w w:val="105"/>
                <w:sz w:val="11"/>
              </w:rPr>
              <w:t>Cr</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b/>
                <w:w w:val="105"/>
                <w:sz w:val="11"/>
              </w:rPr>
              <w:t>Oligocene</w:t>
            </w: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Fig.</w:t>
            </w:r>
            <w:r w:rsidRPr="00B12A32">
              <w:rPr>
                <w:rFonts w:ascii="Times New Roman" w:hAnsi="Times New Roman" w:cs="Times New Roman"/>
                <w:spacing w:val="-9"/>
                <w:w w:val="105"/>
                <w:sz w:val="11"/>
              </w:rPr>
              <w:t xml:space="preserve"> </w:t>
            </w:r>
            <w:r w:rsidRPr="00B12A32">
              <w:rPr>
                <w:rFonts w:ascii="Times New Roman" w:hAnsi="Times New Roman" w:cs="Times New Roman"/>
                <w:w w:val="105"/>
                <w:sz w:val="11"/>
              </w:rPr>
              <w:t>3</w:t>
            </w:r>
          </w:p>
        </w:tc>
        <w:tc>
          <w:tcPr>
            <w:tcW w:w="393" w:type="dxa"/>
            <w:tcBorders>
              <w:top w:val="nil"/>
              <w:left w:val="nil"/>
              <w:bottom w:val="nil"/>
              <w:right w:val="nil"/>
            </w:tcBorders>
          </w:tcPr>
          <w:p w:rsidR="00540C0B" w:rsidRPr="00B12A32" w:rsidRDefault="00540C0B" w:rsidP="00AE1B03">
            <w:pPr>
              <w:pStyle w:val="TableParagraph"/>
              <w:spacing w:before="1"/>
              <w:ind w:left="38"/>
              <w:rPr>
                <w:rFonts w:ascii="Times New Roman" w:eastAsia="Arial" w:hAnsi="Times New Roman" w:cs="Times New Roman"/>
                <w:sz w:val="11"/>
                <w:szCs w:val="11"/>
              </w:rPr>
            </w:pPr>
            <w:r w:rsidRPr="00B12A32">
              <w:rPr>
                <w:rFonts w:ascii="Times New Roman" w:hAnsi="Times New Roman" w:cs="Times New Roman"/>
                <w:w w:val="105"/>
                <w:sz w:val="11"/>
              </w:rPr>
              <w:t>source</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type</w:t>
            </w:r>
          </w:p>
        </w:tc>
        <w:tc>
          <w:tcPr>
            <w:tcW w:w="5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6" w:type="dxa"/>
            <w:tcBorders>
              <w:top w:val="nil"/>
              <w:left w:val="nil"/>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sz w:val="11"/>
              </w:rPr>
              <w:t>affinity</w:t>
            </w:r>
          </w:p>
        </w:tc>
        <w:tc>
          <w:tcPr>
            <w:tcW w:w="444" w:type="dxa"/>
            <w:tcBorders>
              <w:top w:val="nil"/>
              <w:left w:val="nil"/>
              <w:bottom w:val="nil"/>
              <w:right w:val="nil"/>
            </w:tcBorders>
          </w:tcPr>
          <w:p w:rsidR="00540C0B" w:rsidRPr="00B12A32" w:rsidRDefault="00540C0B" w:rsidP="00AE1B03">
            <w:pPr>
              <w:pStyle w:val="TableParagraph"/>
              <w:spacing w:before="1"/>
              <w:ind w:left="112"/>
              <w:rPr>
                <w:rFonts w:ascii="Times New Roman" w:eastAsia="Arial" w:hAnsi="Times New Roman" w:cs="Times New Roman"/>
                <w:sz w:val="11"/>
                <w:szCs w:val="11"/>
              </w:rPr>
            </w:pPr>
            <w:r w:rsidRPr="00B12A32">
              <w:rPr>
                <w:rFonts w:ascii="Times New Roman" w:hAnsi="Times New Roman" w:cs="Times New Roman"/>
                <w:w w:val="105"/>
                <w:sz w:val="11"/>
              </w:rPr>
              <w:t>rock</w:t>
            </w: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grains</w:t>
            </w:r>
          </w:p>
        </w:tc>
        <w:tc>
          <w:tcPr>
            <w:tcW w:w="633" w:type="dxa"/>
            <w:gridSpan w:val="2"/>
            <w:tcBorders>
              <w:top w:val="nil"/>
              <w:left w:val="nil"/>
              <w:bottom w:val="nil"/>
              <w:right w:val="nil"/>
            </w:tcBorders>
          </w:tcPr>
          <w:p w:rsidR="00540C0B" w:rsidRPr="00B12A32" w:rsidRDefault="00540C0B" w:rsidP="00AE1B03">
            <w:pPr>
              <w:pStyle w:val="TableParagraph"/>
              <w:spacing w:before="1"/>
              <w:ind w:left="17"/>
              <w:rPr>
                <w:rFonts w:ascii="Times New Roman" w:eastAsia="Arial" w:hAnsi="Times New Roman" w:cs="Times New Roman"/>
                <w:sz w:val="11"/>
                <w:szCs w:val="11"/>
              </w:rPr>
            </w:pPr>
            <w:r w:rsidRPr="00B12A32">
              <w:rPr>
                <w:rFonts w:ascii="Times New Roman" w:hAnsi="Times New Roman" w:cs="Times New Roman"/>
                <w:w w:val="105"/>
                <w:sz w:val="11"/>
              </w:rPr>
              <w:t>Wt. %</w:t>
            </w:r>
            <w:r w:rsidRPr="00B12A32">
              <w:rPr>
                <w:rFonts w:ascii="Times New Roman" w:hAnsi="Times New Roman" w:cs="Times New Roman"/>
                <w:spacing w:val="-10"/>
                <w:w w:val="105"/>
                <w:sz w:val="11"/>
              </w:rPr>
              <w:t xml:space="preserve"> </w:t>
            </w:r>
            <w:r w:rsidRPr="00B12A32">
              <w:rPr>
                <w:rFonts w:ascii="Times New Roman" w:hAnsi="Times New Roman" w:cs="Times New Roman"/>
                <w:w w:val="105"/>
                <w:sz w:val="11"/>
              </w:rPr>
              <w:t>---&gt;</w:t>
            </w:r>
          </w:p>
        </w:tc>
        <w:tc>
          <w:tcPr>
            <w:tcW w:w="35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722" w:type="dxa"/>
            <w:gridSpan w:val="2"/>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ppm</w:t>
            </w:r>
            <w:r w:rsidRPr="00B12A32">
              <w:rPr>
                <w:rFonts w:ascii="Times New Roman" w:hAnsi="Times New Roman" w:cs="Times New Roman"/>
                <w:spacing w:val="-15"/>
                <w:w w:val="105"/>
                <w:sz w:val="11"/>
              </w:rPr>
              <w:t xml:space="preserve"> </w:t>
            </w:r>
            <w:r w:rsidRPr="00B12A32">
              <w:rPr>
                <w:rFonts w:ascii="Times New Roman" w:hAnsi="Times New Roman" w:cs="Times New Roman"/>
                <w:w w:val="105"/>
                <w:sz w:val="11"/>
              </w:rPr>
              <w:t>---&gt;</w:t>
            </w:r>
          </w:p>
        </w:tc>
        <w:tc>
          <w:tcPr>
            <w:tcW w:w="591"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521"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653"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590"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598"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587"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14200" w:type="dxa"/>
            <w:gridSpan w:val="38"/>
            <w:tcBorders>
              <w:top w:val="nil"/>
              <w:left w:val="single" w:sz="4" w:space="0" w:color="000000"/>
              <w:bottom w:val="nil"/>
              <w:right w:val="single" w:sz="4" w:space="0" w:color="000000"/>
            </w:tcBorders>
          </w:tcPr>
          <w:p w:rsidR="00540C0B" w:rsidRPr="00B12A32" w:rsidRDefault="00540C0B" w:rsidP="00AE1B03">
            <w:pPr>
              <w:pStyle w:val="TableParagraph"/>
              <w:spacing w:before="1"/>
              <w:ind w:left="588"/>
              <w:rPr>
                <w:rFonts w:ascii="Times New Roman" w:eastAsia="Arial" w:hAnsi="Times New Roman" w:cs="Times New Roman"/>
                <w:sz w:val="11"/>
                <w:szCs w:val="11"/>
              </w:rPr>
            </w:pPr>
            <w:r w:rsidRPr="00B12A32">
              <w:rPr>
                <w:rFonts w:ascii="Times New Roman" w:hAnsi="Times New Roman" w:cs="Times New Roman"/>
                <w:sz w:val="11"/>
              </w:rPr>
              <w:t>North</w:t>
            </w:r>
            <w:r w:rsidRPr="00B12A32">
              <w:rPr>
                <w:rFonts w:ascii="Times New Roman" w:hAnsi="Times New Roman" w:cs="Times New Roman"/>
                <w:spacing w:val="15"/>
                <w:sz w:val="11"/>
              </w:rPr>
              <w:t xml:space="preserve"> </w:t>
            </w:r>
            <w:r w:rsidRPr="00B12A32">
              <w:rPr>
                <w:rFonts w:ascii="Times New Roman" w:hAnsi="Times New Roman" w:cs="Times New Roman"/>
                <w:sz w:val="11"/>
              </w:rPr>
              <w:t>Apennines</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29.8,</w:t>
            </w:r>
            <w:r w:rsidRPr="00B12A32">
              <w:rPr>
                <w:rFonts w:ascii="Times New Roman" w:hAnsi="Times New Roman" w:cs="Times New Roman"/>
                <w:spacing w:val="-21"/>
                <w:w w:val="105"/>
                <w:sz w:val="11"/>
              </w:rPr>
              <w:t xml:space="preserve"> </w:t>
            </w:r>
            <w:r w:rsidRPr="00B12A32">
              <w:rPr>
                <w:rFonts w:ascii="Times New Roman" w:hAnsi="Times New Roman" w:cs="Times New Roman"/>
                <w:w w:val="105"/>
                <w:sz w:val="11"/>
              </w:rPr>
              <w:t>29.0</w:t>
            </w: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Aveto</w:t>
            </w:r>
            <w:r w:rsidRPr="00B12A32">
              <w:rPr>
                <w:rFonts w:ascii="Times New Roman" w:hAnsi="Times New Roman" w:cs="Times New Roman"/>
                <w:spacing w:val="-10"/>
                <w:w w:val="105"/>
                <w:sz w:val="11"/>
              </w:rPr>
              <w:t xml:space="preserve"> </w:t>
            </w:r>
            <w:r w:rsidRPr="00B12A32">
              <w:rPr>
                <w:rFonts w:ascii="Times New Roman" w:hAnsi="Times New Roman" w:cs="Times New Roman"/>
                <w:w w:val="105"/>
                <w:sz w:val="11"/>
              </w:rPr>
              <w:t>&amp;</w:t>
            </w:r>
          </w:p>
        </w:tc>
        <w:tc>
          <w:tcPr>
            <w:tcW w:w="330"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25-24</w:t>
            </w:r>
          </w:p>
        </w:tc>
        <w:tc>
          <w:tcPr>
            <w:tcW w:w="393" w:type="dxa"/>
            <w:tcBorders>
              <w:top w:val="nil"/>
              <w:left w:val="nil"/>
              <w:bottom w:val="nil"/>
              <w:right w:val="nil"/>
            </w:tcBorders>
          </w:tcPr>
          <w:p w:rsidR="00540C0B" w:rsidRPr="00B12A32" w:rsidRDefault="00540C0B" w:rsidP="00AE1B03">
            <w:pPr>
              <w:pStyle w:val="TableParagraph"/>
              <w:spacing w:before="1"/>
              <w:ind w:left="25"/>
              <w:jc w:val="center"/>
              <w:rPr>
                <w:rFonts w:ascii="Times New Roman" w:eastAsia="Arial" w:hAnsi="Times New Roman" w:cs="Times New Roman"/>
                <w:sz w:val="11"/>
                <w:szCs w:val="11"/>
              </w:rPr>
            </w:pPr>
            <w:r w:rsidRPr="00B12A32">
              <w:rPr>
                <w:rFonts w:ascii="Times New Roman" w:hAnsi="Times New Roman" w:cs="Times New Roman"/>
                <w:w w:val="102"/>
                <w:sz w:val="11"/>
              </w:rPr>
              <w:t>5</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basalt</w:t>
            </w:r>
          </w:p>
        </w:tc>
        <w:tc>
          <w:tcPr>
            <w:tcW w:w="524" w:type="dxa"/>
            <w:tcBorders>
              <w:top w:val="nil"/>
              <w:left w:val="nil"/>
              <w:bottom w:val="nil"/>
              <w:right w:val="nil"/>
            </w:tcBorders>
          </w:tcPr>
          <w:p w:rsidR="00540C0B" w:rsidRPr="00B12A32" w:rsidRDefault="00540C0B" w:rsidP="00AE1B03">
            <w:pPr>
              <w:pStyle w:val="TableParagraph"/>
              <w:spacing w:before="1"/>
              <w:ind w:left="20"/>
              <w:rPr>
                <w:rFonts w:ascii="Times New Roman" w:eastAsia="Arial" w:hAnsi="Times New Roman" w:cs="Times New Roman"/>
                <w:sz w:val="11"/>
                <w:szCs w:val="11"/>
              </w:rPr>
            </w:pPr>
            <w:r w:rsidRPr="00B12A32">
              <w:rPr>
                <w:rFonts w:ascii="Times New Roman" w:hAnsi="Times New Roman" w:cs="Times New Roman"/>
                <w:w w:val="105"/>
                <w:sz w:val="11"/>
              </w:rPr>
              <w:t>lava</w:t>
            </w:r>
            <w:r w:rsidRPr="00B12A32">
              <w:rPr>
                <w:rFonts w:ascii="Times New Roman" w:hAnsi="Times New Roman" w:cs="Times New Roman"/>
                <w:spacing w:val="-11"/>
                <w:w w:val="105"/>
                <w:sz w:val="11"/>
              </w:rPr>
              <w:t xml:space="preserve"> </w:t>
            </w:r>
            <w:r w:rsidRPr="00B12A32">
              <w:rPr>
                <w:rFonts w:ascii="Times New Roman" w:hAnsi="Times New Roman" w:cs="Times New Roman"/>
                <w:w w:val="105"/>
                <w:sz w:val="11"/>
              </w:rPr>
              <w:t>clast</w:t>
            </w:r>
          </w:p>
        </w:tc>
        <w:tc>
          <w:tcPr>
            <w:tcW w:w="424"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MM72</w:t>
            </w:r>
          </w:p>
        </w:tc>
        <w:tc>
          <w:tcPr>
            <w:tcW w:w="356" w:type="dxa"/>
            <w:tcBorders>
              <w:top w:val="nil"/>
              <w:left w:val="nil"/>
              <w:bottom w:val="nil"/>
              <w:right w:val="nil"/>
            </w:tcBorders>
          </w:tcPr>
          <w:p w:rsidR="00540C0B" w:rsidRPr="00B12A32" w:rsidRDefault="00540C0B" w:rsidP="00AE1B03">
            <w:pPr>
              <w:pStyle w:val="TableParagraph"/>
              <w:spacing w:before="1"/>
              <w:ind w:left="105"/>
              <w:rPr>
                <w:rFonts w:ascii="Times New Roman" w:eastAsia="Arial" w:hAnsi="Times New Roman" w:cs="Times New Roman"/>
                <w:sz w:val="11"/>
                <w:szCs w:val="11"/>
              </w:rPr>
            </w:pPr>
            <w:r w:rsidRPr="00B12A32">
              <w:rPr>
                <w:rFonts w:ascii="Times New Roman" w:hAnsi="Times New Roman" w:cs="Times New Roman"/>
                <w:w w:val="105"/>
                <w:sz w:val="11"/>
              </w:rPr>
              <w:t>CA</w:t>
            </w:r>
          </w:p>
        </w:tc>
        <w:tc>
          <w:tcPr>
            <w:tcW w:w="444" w:type="dxa"/>
            <w:tcBorders>
              <w:top w:val="nil"/>
              <w:left w:val="nil"/>
              <w:bottom w:val="nil"/>
              <w:right w:val="nil"/>
            </w:tcBorders>
          </w:tcPr>
          <w:p w:rsidR="00540C0B" w:rsidRPr="00B12A32" w:rsidRDefault="00540C0B" w:rsidP="00AE1B03">
            <w:pPr>
              <w:pStyle w:val="TableParagraph"/>
              <w:spacing w:before="1"/>
              <w:ind w:left="11"/>
              <w:rPr>
                <w:rFonts w:ascii="Times New Roman" w:eastAsia="Arial" w:hAnsi="Times New Roman" w:cs="Times New Roman"/>
                <w:sz w:val="11"/>
                <w:szCs w:val="11"/>
              </w:rPr>
            </w:pPr>
            <w:r w:rsidRPr="00B12A32">
              <w:rPr>
                <w:rFonts w:ascii="Times New Roman" w:hAnsi="Times New Roman" w:cs="Times New Roman"/>
                <w:w w:val="105"/>
                <w:sz w:val="11"/>
              </w:rPr>
              <w:t>wh.</w:t>
            </w:r>
            <w:r w:rsidRPr="00B12A32">
              <w:rPr>
                <w:rFonts w:ascii="Times New Roman" w:hAnsi="Times New Roman" w:cs="Times New Roman"/>
                <w:spacing w:val="-14"/>
                <w:w w:val="105"/>
                <w:sz w:val="11"/>
              </w:rPr>
              <w:t xml:space="preserve"> </w:t>
            </w:r>
            <w:r w:rsidRPr="00B12A32">
              <w:rPr>
                <w:rFonts w:ascii="Times New Roman" w:hAnsi="Times New Roman" w:cs="Times New Roman"/>
                <w:w w:val="105"/>
                <w:sz w:val="11"/>
              </w:rPr>
              <w:t>rock</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48,42</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1,04</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18,02</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9,11</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0,14</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5,85</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9,41</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3,49</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0,94</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0,14</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3,43</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115"/>
              <w:rPr>
                <w:rFonts w:ascii="Times New Roman" w:eastAsia="Arial" w:hAnsi="Times New Roman" w:cs="Times New Roman"/>
                <w:sz w:val="11"/>
                <w:szCs w:val="11"/>
              </w:rPr>
            </w:pPr>
            <w:r w:rsidRPr="00B12A32">
              <w:rPr>
                <w:rFonts w:ascii="Times New Roman" w:hAnsi="Times New Roman" w:cs="Times New Roman"/>
                <w:w w:val="105"/>
                <w:sz w:val="11"/>
              </w:rPr>
              <w:t>36</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557</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25</w:t>
            </w:r>
          </w:p>
        </w:tc>
        <w:tc>
          <w:tcPr>
            <w:tcW w:w="316" w:type="dxa"/>
            <w:tcBorders>
              <w:top w:val="nil"/>
              <w:left w:val="nil"/>
              <w:bottom w:val="nil"/>
              <w:right w:val="nil"/>
            </w:tcBorders>
          </w:tcPr>
          <w:p w:rsidR="00540C0B" w:rsidRPr="00B12A32" w:rsidRDefault="00540C0B" w:rsidP="00AE1B03">
            <w:pPr>
              <w:pStyle w:val="TableParagraph"/>
              <w:spacing w:before="1"/>
              <w:ind w:left="116"/>
              <w:rPr>
                <w:rFonts w:ascii="Times New Roman" w:eastAsia="Arial" w:hAnsi="Times New Roman" w:cs="Times New Roman"/>
                <w:sz w:val="11"/>
                <w:szCs w:val="11"/>
              </w:rPr>
            </w:pPr>
            <w:r w:rsidRPr="00B12A32">
              <w:rPr>
                <w:rFonts w:ascii="Times New Roman" w:hAnsi="Times New Roman" w:cs="Times New Roman"/>
                <w:w w:val="105"/>
                <w:sz w:val="11"/>
              </w:rPr>
              <w:t>98</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13</w:t>
            </w:r>
          </w:p>
        </w:tc>
        <w:tc>
          <w:tcPr>
            <w:tcW w:w="296" w:type="dxa"/>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15,2</w:t>
            </w:r>
          </w:p>
        </w:tc>
        <w:tc>
          <w:tcPr>
            <w:tcW w:w="341"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34,8</w:t>
            </w: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18,9</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4,21</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0,99</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3,71</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4,48</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2,74</w:t>
            </w:r>
          </w:p>
        </w:tc>
        <w:tc>
          <w:tcPr>
            <w:tcW w:w="289"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10</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41</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amphibole</w:t>
            </w: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Petrignacola</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MM15</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49,94</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1,05</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18,57</w:t>
            </w:r>
          </w:p>
        </w:tc>
        <w:tc>
          <w:tcPr>
            <w:tcW w:w="385" w:type="dxa"/>
            <w:tcBorders>
              <w:top w:val="nil"/>
              <w:left w:val="nil"/>
              <w:bottom w:val="nil"/>
              <w:right w:val="nil"/>
            </w:tcBorders>
          </w:tcPr>
          <w:p w:rsidR="00540C0B" w:rsidRPr="00B12A32" w:rsidRDefault="00540C0B" w:rsidP="00AE1B03">
            <w:pPr>
              <w:pStyle w:val="TableParagraph"/>
              <w:spacing w:before="1"/>
              <w:ind w:left="50"/>
              <w:rPr>
                <w:rFonts w:ascii="Times New Roman" w:eastAsia="Arial" w:hAnsi="Times New Roman" w:cs="Times New Roman"/>
                <w:sz w:val="11"/>
                <w:szCs w:val="11"/>
              </w:rPr>
            </w:pPr>
            <w:r w:rsidRPr="00B12A32">
              <w:rPr>
                <w:rFonts w:ascii="Times New Roman" w:hAnsi="Times New Roman" w:cs="Times New Roman"/>
                <w:w w:val="105"/>
                <w:sz w:val="11"/>
              </w:rPr>
              <w:t>11,84</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0,14</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9,34</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1,36</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4,13</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0,30</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0,23</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3,11</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115"/>
              <w:rPr>
                <w:rFonts w:ascii="Times New Roman" w:eastAsia="Arial" w:hAnsi="Times New Roman" w:cs="Times New Roman"/>
                <w:sz w:val="11"/>
                <w:szCs w:val="11"/>
              </w:rPr>
            </w:pPr>
            <w:r w:rsidRPr="00B12A32">
              <w:rPr>
                <w:rFonts w:ascii="Times New Roman" w:hAnsi="Times New Roman" w:cs="Times New Roman"/>
                <w:w w:val="105"/>
                <w:sz w:val="11"/>
              </w:rPr>
              <w:t>38</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634</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34</w:t>
            </w:r>
          </w:p>
        </w:tc>
        <w:tc>
          <w:tcPr>
            <w:tcW w:w="316" w:type="dxa"/>
            <w:tcBorders>
              <w:top w:val="nil"/>
              <w:left w:val="nil"/>
              <w:bottom w:val="nil"/>
              <w:right w:val="nil"/>
            </w:tcBorders>
          </w:tcPr>
          <w:p w:rsidR="00540C0B" w:rsidRPr="00B12A32" w:rsidRDefault="00540C0B" w:rsidP="00AE1B03">
            <w:pPr>
              <w:pStyle w:val="TableParagraph"/>
              <w:spacing w:before="1"/>
              <w:ind w:left="116"/>
              <w:rPr>
                <w:rFonts w:ascii="Times New Roman" w:eastAsia="Arial" w:hAnsi="Times New Roman" w:cs="Times New Roman"/>
                <w:sz w:val="11"/>
                <w:szCs w:val="11"/>
              </w:rPr>
            </w:pPr>
            <w:r w:rsidRPr="00B12A32">
              <w:rPr>
                <w:rFonts w:ascii="Times New Roman" w:hAnsi="Times New Roman" w:cs="Times New Roman"/>
                <w:w w:val="105"/>
                <w:sz w:val="11"/>
              </w:rPr>
              <w:t>93</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13</w:t>
            </w:r>
          </w:p>
        </w:tc>
        <w:tc>
          <w:tcPr>
            <w:tcW w:w="296" w:type="dxa"/>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15,1</w:t>
            </w:r>
          </w:p>
        </w:tc>
        <w:tc>
          <w:tcPr>
            <w:tcW w:w="341"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33,8</w:t>
            </w: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18,1</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4,24</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0,93</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3,75</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4,52</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2,66</w:t>
            </w:r>
          </w:p>
        </w:tc>
        <w:tc>
          <w:tcPr>
            <w:tcW w:w="289"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44</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24</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Ar/Ar</w:t>
            </w:r>
            <w:r w:rsidRPr="00B12A32">
              <w:rPr>
                <w:rFonts w:ascii="Times New Roman" w:hAnsi="Times New Roman" w:cs="Times New Roman"/>
                <w:spacing w:val="-18"/>
                <w:w w:val="105"/>
                <w:sz w:val="11"/>
              </w:rPr>
              <w:t xml:space="preserve"> </w:t>
            </w:r>
            <w:r w:rsidRPr="00B12A32">
              <w:rPr>
                <w:rFonts w:ascii="Times New Roman" w:hAnsi="Times New Roman" w:cs="Times New Roman"/>
                <w:w w:val="105"/>
                <w:sz w:val="11"/>
              </w:rPr>
              <w:t>dates</w:t>
            </w: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basaltic</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89"/>
              <w:rPr>
                <w:rFonts w:ascii="Times New Roman" w:eastAsia="Arial" w:hAnsi="Times New Roman" w:cs="Times New Roman"/>
                <w:sz w:val="11"/>
                <w:szCs w:val="11"/>
              </w:rPr>
            </w:pPr>
            <w:r w:rsidRPr="00B12A32">
              <w:rPr>
                <w:rFonts w:ascii="Times New Roman" w:hAnsi="Times New Roman" w:cs="Times New Roman"/>
                <w:w w:val="105"/>
                <w:sz w:val="11"/>
              </w:rPr>
              <w:t>MM5</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51,16</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1,00</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18,38</w:t>
            </w:r>
          </w:p>
        </w:tc>
        <w:tc>
          <w:tcPr>
            <w:tcW w:w="385" w:type="dxa"/>
            <w:tcBorders>
              <w:top w:val="nil"/>
              <w:left w:val="nil"/>
              <w:bottom w:val="nil"/>
              <w:right w:val="nil"/>
            </w:tcBorders>
          </w:tcPr>
          <w:p w:rsidR="00540C0B" w:rsidRPr="00B12A32" w:rsidRDefault="00540C0B" w:rsidP="00AE1B03">
            <w:pPr>
              <w:pStyle w:val="TableParagraph"/>
              <w:spacing w:before="1"/>
              <w:ind w:left="50"/>
              <w:rPr>
                <w:rFonts w:ascii="Times New Roman" w:eastAsia="Arial" w:hAnsi="Times New Roman" w:cs="Times New Roman"/>
                <w:sz w:val="11"/>
                <w:szCs w:val="11"/>
              </w:rPr>
            </w:pPr>
            <w:r w:rsidRPr="00B12A32">
              <w:rPr>
                <w:rFonts w:ascii="Times New Roman" w:hAnsi="Times New Roman" w:cs="Times New Roman"/>
                <w:w w:val="105"/>
                <w:sz w:val="11"/>
              </w:rPr>
              <w:t>10,73</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0,14</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7,75</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1,59</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5,15</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0,42</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0,20</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3,49</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12"/>
              <w:jc w:val="center"/>
              <w:rPr>
                <w:rFonts w:ascii="Times New Roman" w:eastAsia="Arial" w:hAnsi="Times New Roman" w:cs="Times New Roman"/>
                <w:sz w:val="11"/>
                <w:szCs w:val="11"/>
              </w:rPr>
            </w:pPr>
            <w:r w:rsidRPr="00B12A32">
              <w:rPr>
                <w:rFonts w:ascii="Times New Roman" w:hAnsi="Times New Roman" w:cs="Times New Roman"/>
                <w:w w:val="102"/>
                <w:sz w:val="11"/>
              </w:rPr>
              <w:t>9</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500</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26</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119</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13</w:t>
            </w:r>
          </w:p>
        </w:tc>
        <w:tc>
          <w:tcPr>
            <w:tcW w:w="296" w:type="dxa"/>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26,3</w:t>
            </w:r>
          </w:p>
        </w:tc>
        <w:tc>
          <w:tcPr>
            <w:tcW w:w="341"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54,2</w:t>
            </w: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23,4</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4,97</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1,06</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4,18</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3,83</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1,81</w:t>
            </w:r>
          </w:p>
        </w:tc>
        <w:tc>
          <w:tcPr>
            <w:tcW w:w="289"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20</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16</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andesite</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89"/>
              <w:rPr>
                <w:rFonts w:ascii="Times New Roman" w:eastAsia="Arial" w:hAnsi="Times New Roman" w:cs="Times New Roman"/>
                <w:sz w:val="11"/>
                <w:szCs w:val="11"/>
              </w:rPr>
            </w:pPr>
            <w:r w:rsidRPr="00B12A32">
              <w:rPr>
                <w:rFonts w:ascii="Times New Roman" w:hAnsi="Times New Roman" w:cs="Times New Roman"/>
                <w:w w:val="105"/>
                <w:sz w:val="11"/>
              </w:rPr>
              <w:t>MM2</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54,49</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0,92</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16,44</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6,54</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0,13</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3,84</w:t>
            </w:r>
          </w:p>
        </w:tc>
        <w:tc>
          <w:tcPr>
            <w:tcW w:w="341" w:type="dxa"/>
            <w:tcBorders>
              <w:top w:val="nil"/>
              <w:left w:val="nil"/>
              <w:bottom w:val="nil"/>
              <w:right w:val="nil"/>
            </w:tcBorders>
          </w:tcPr>
          <w:p w:rsidR="00540C0B" w:rsidRPr="00B12A32" w:rsidRDefault="00540C0B" w:rsidP="00AE1B03">
            <w:pPr>
              <w:pStyle w:val="TableParagraph"/>
              <w:spacing w:before="1"/>
              <w:ind w:left="38"/>
              <w:rPr>
                <w:rFonts w:ascii="Times New Roman" w:eastAsia="Arial" w:hAnsi="Times New Roman" w:cs="Times New Roman"/>
                <w:sz w:val="11"/>
                <w:szCs w:val="11"/>
              </w:rPr>
            </w:pPr>
            <w:r w:rsidRPr="00B12A32">
              <w:rPr>
                <w:rFonts w:ascii="Times New Roman" w:hAnsi="Times New Roman" w:cs="Times New Roman"/>
                <w:w w:val="105"/>
                <w:sz w:val="11"/>
              </w:rPr>
              <w:t>10,41</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3,02</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1,15</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0,17</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2,90</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115"/>
              <w:rPr>
                <w:rFonts w:ascii="Times New Roman" w:eastAsia="Arial" w:hAnsi="Times New Roman" w:cs="Times New Roman"/>
                <w:sz w:val="11"/>
                <w:szCs w:val="11"/>
              </w:rPr>
            </w:pPr>
            <w:r w:rsidRPr="00B12A32">
              <w:rPr>
                <w:rFonts w:ascii="Times New Roman" w:hAnsi="Times New Roman" w:cs="Times New Roman"/>
                <w:w w:val="105"/>
                <w:sz w:val="11"/>
              </w:rPr>
              <w:t>40</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338</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20</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122</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13</w:t>
            </w:r>
          </w:p>
        </w:tc>
        <w:tc>
          <w:tcPr>
            <w:tcW w:w="296" w:type="dxa"/>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26,4</w:t>
            </w:r>
          </w:p>
        </w:tc>
        <w:tc>
          <w:tcPr>
            <w:tcW w:w="341"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54,2</w:t>
            </w: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23,5</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4,92</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1,01</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4,29</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3,83</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1,79</w:t>
            </w:r>
          </w:p>
        </w:tc>
        <w:tc>
          <w:tcPr>
            <w:tcW w:w="289"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10</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57</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andesite</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MM61</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56,43</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0,79</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19,71</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5,19</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0,12</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3,83</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5,16</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3,36</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2,60</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0,21</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2,59</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115"/>
              <w:rPr>
                <w:rFonts w:ascii="Times New Roman" w:eastAsia="Arial" w:hAnsi="Times New Roman" w:cs="Times New Roman"/>
                <w:sz w:val="11"/>
                <w:szCs w:val="11"/>
              </w:rPr>
            </w:pPr>
            <w:r w:rsidRPr="00B12A32">
              <w:rPr>
                <w:rFonts w:ascii="Times New Roman" w:hAnsi="Times New Roman" w:cs="Times New Roman"/>
                <w:w w:val="105"/>
                <w:sz w:val="11"/>
              </w:rPr>
              <w:t>85</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903</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23</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175</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14</w:t>
            </w:r>
          </w:p>
        </w:tc>
        <w:tc>
          <w:tcPr>
            <w:tcW w:w="296" w:type="dxa"/>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28,9</w:t>
            </w:r>
          </w:p>
        </w:tc>
        <w:tc>
          <w:tcPr>
            <w:tcW w:w="341"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58,3</w:t>
            </w: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24,0</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4,86</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1,38</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3,90</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3,67</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1,70</w:t>
            </w:r>
          </w:p>
        </w:tc>
        <w:tc>
          <w:tcPr>
            <w:tcW w:w="289" w:type="dxa"/>
            <w:tcBorders>
              <w:top w:val="nil"/>
              <w:left w:val="nil"/>
              <w:bottom w:val="nil"/>
              <w:right w:val="nil"/>
            </w:tcBorders>
          </w:tcPr>
          <w:p w:rsidR="00540C0B" w:rsidRPr="00B12A32" w:rsidRDefault="00540C0B" w:rsidP="00AE1B03">
            <w:pPr>
              <w:pStyle w:val="TableParagraph"/>
              <w:spacing w:before="1"/>
              <w:ind w:right="20"/>
              <w:jc w:val="center"/>
              <w:rPr>
                <w:rFonts w:ascii="Times New Roman" w:eastAsia="Arial" w:hAnsi="Times New Roman" w:cs="Times New Roman"/>
                <w:sz w:val="11"/>
                <w:szCs w:val="11"/>
              </w:rPr>
            </w:pPr>
            <w:r w:rsidRPr="00B12A32">
              <w:rPr>
                <w:rFonts w:ascii="Times New Roman" w:hAnsi="Times New Roman" w:cs="Times New Roman"/>
                <w:w w:val="102"/>
                <w:sz w:val="11"/>
              </w:rPr>
              <w:t>8</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38</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MM109</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58,03</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0,62</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17,67</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4,91</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0,13</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3,17</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5,67</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3,53</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2,84</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0,16</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3,26</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115"/>
              <w:rPr>
                <w:rFonts w:ascii="Times New Roman" w:eastAsia="Arial" w:hAnsi="Times New Roman" w:cs="Times New Roman"/>
                <w:sz w:val="11"/>
                <w:szCs w:val="11"/>
              </w:rPr>
            </w:pPr>
            <w:r w:rsidRPr="00B12A32">
              <w:rPr>
                <w:rFonts w:ascii="Times New Roman" w:hAnsi="Times New Roman" w:cs="Times New Roman"/>
                <w:w w:val="105"/>
                <w:sz w:val="11"/>
              </w:rPr>
              <w:t>72</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730</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28</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143</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12</w:t>
            </w: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22</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30</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dacite</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MM54</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61,45</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0,84</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17,68</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4,21</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0,11</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3,14</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3,19</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4,17</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3,61</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0,21</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1,38</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138</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679</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23</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187</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15</w:t>
            </w:r>
          </w:p>
        </w:tc>
        <w:tc>
          <w:tcPr>
            <w:tcW w:w="296" w:type="dxa"/>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29,8</w:t>
            </w:r>
          </w:p>
        </w:tc>
        <w:tc>
          <w:tcPr>
            <w:tcW w:w="341"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57,8</w:t>
            </w: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24,1</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4,88</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1,13</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2,99</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2,89</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1,64</w:t>
            </w:r>
          </w:p>
        </w:tc>
        <w:tc>
          <w:tcPr>
            <w:tcW w:w="289" w:type="dxa"/>
            <w:tcBorders>
              <w:top w:val="nil"/>
              <w:left w:val="nil"/>
              <w:bottom w:val="nil"/>
              <w:right w:val="nil"/>
            </w:tcBorders>
          </w:tcPr>
          <w:p w:rsidR="00540C0B" w:rsidRPr="00B12A32" w:rsidRDefault="00540C0B" w:rsidP="00AE1B03">
            <w:pPr>
              <w:pStyle w:val="TableParagraph"/>
              <w:spacing w:before="1"/>
              <w:ind w:right="20"/>
              <w:jc w:val="center"/>
              <w:rPr>
                <w:rFonts w:ascii="Times New Roman" w:eastAsia="Arial" w:hAnsi="Times New Roman" w:cs="Times New Roman"/>
                <w:sz w:val="11"/>
                <w:szCs w:val="11"/>
              </w:rPr>
            </w:pPr>
            <w:r w:rsidRPr="00B12A32">
              <w:rPr>
                <w:rFonts w:ascii="Times New Roman" w:hAnsi="Times New Roman" w:cs="Times New Roman"/>
                <w:w w:val="102"/>
                <w:sz w:val="11"/>
              </w:rPr>
              <w:t>7</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10</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MM89</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63,75</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0,56</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16,47</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4,59</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0,12</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3,49</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3,88</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2,16</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3,42</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0,18</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1,39</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113</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614</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20</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144</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13</w:t>
            </w:r>
          </w:p>
        </w:tc>
        <w:tc>
          <w:tcPr>
            <w:tcW w:w="296" w:type="dxa"/>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29,8</w:t>
            </w:r>
          </w:p>
        </w:tc>
        <w:tc>
          <w:tcPr>
            <w:tcW w:w="341"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55,4</w:t>
            </w: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20,6</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3,80</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0,93</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3,04</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2,58</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1,46</w:t>
            </w:r>
          </w:p>
        </w:tc>
        <w:tc>
          <w:tcPr>
            <w:tcW w:w="289"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11</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38</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dacite</w:t>
            </w:r>
          </w:p>
        </w:tc>
        <w:tc>
          <w:tcPr>
            <w:tcW w:w="524" w:type="dxa"/>
            <w:tcBorders>
              <w:top w:val="nil"/>
              <w:left w:val="nil"/>
              <w:bottom w:val="nil"/>
              <w:right w:val="nil"/>
            </w:tcBorders>
          </w:tcPr>
          <w:p w:rsidR="00540C0B" w:rsidRPr="00B12A32" w:rsidRDefault="00540C0B" w:rsidP="00AE1B03">
            <w:pPr>
              <w:pStyle w:val="TableParagraph"/>
              <w:spacing w:before="1"/>
              <w:ind w:left="15"/>
              <w:rPr>
                <w:rFonts w:ascii="Times New Roman" w:eastAsia="Arial" w:hAnsi="Times New Roman" w:cs="Times New Roman"/>
                <w:sz w:val="11"/>
                <w:szCs w:val="11"/>
              </w:rPr>
            </w:pPr>
            <w:r w:rsidRPr="00B12A32">
              <w:rPr>
                <w:rFonts w:ascii="Times New Roman" w:hAnsi="Times New Roman" w:cs="Times New Roman"/>
                <w:sz w:val="11"/>
              </w:rPr>
              <w:t>ignimbrite</w:t>
            </w:r>
          </w:p>
        </w:tc>
        <w:tc>
          <w:tcPr>
            <w:tcW w:w="424"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MM29</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57,50</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0,37</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16,65</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7,07</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0,15</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5,36</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4,02</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5,90</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0,34</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0,16</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2,50</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250</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32</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126</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14</w:t>
            </w:r>
          </w:p>
        </w:tc>
        <w:tc>
          <w:tcPr>
            <w:tcW w:w="296" w:type="dxa"/>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67,5</w:t>
            </w:r>
          </w:p>
        </w:tc>
        <w:tc>
          <w:tcPr>
            <w:tcW w:w="341"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135,0</w:t>
            </w: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51,4</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8,46</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2,07</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5,07</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3,33</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1,45</w:t>
            </w:r>
          </w:p>
        </w:tc>
        <w:tc>
          <w:tcPr>
            <w:tcW w:w="289"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32</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124"/>
              <w:rPr>
                <w:rFonts w:ascii="Times New Roman" w:eastAsia="Arial" w:hAnsi="Times New Roman" w:cs="Times New Roman"/>
                <w:sz w:val="11"/>
                <w:szCs w:val="11"/>
              </w:rPr>
            </w:pPr>
            <w:r w:rsidRPr="00B12A32">
              <w:rPr>
                <w:rFonts w:ascii="Times New Roman" w:hAnsi="Times New Roman" w:cs="Times New Roman"/>
                <w:w w:val="102"/>
                <w:sz w:val="11"/>
              </w:rPr>
              <w:t>4</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left="123"/>
              <w:rPr>
                <w:rFonts w:ascii="Times New Roman" w:eastAsia="Arial" w:hAnsi="Times New Roman" w:cs="Times New Roman"/>
                <w:sz w:val="11"/>
                <w:szCs w:val="11"/>
              </w:rPr>
            </w:pPr>
            <w:r w:rsidRPr="00B12A32">
              <w:rPr>
                <w:rFonts w:ascii="Times New Roman" w:hAnsi="Times New Roman" w:cs="Times New Roman"/>
                <w:w w:val="105"/>
                <w:sz w:val="11"/>
              </w:rPr>
              <w:t>clast</w:t>
            </w:r>
          </w:p>
        </w:tc>
        <w:tc>
          <w:tcPr>
            <w:tcW w:w="424"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MM112</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63,18</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0,74</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19,02</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3,03</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0,10</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1,26</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2,93</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4,44</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3,50</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0,17</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1,63</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160</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779</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27</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188</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15</w:t>
            </w:r>
          </w:p>
        </w:tc>
        <w:tc>
          <w:tcPr>
            <w:tcW w:w="296" w:type="dxa"/>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14,5</w:t>
            </w:r>
          </w:p>
        </w:tc>
        <w:tc>
          <w:tcPr>
            <w:tcW w:w="341"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29,2</w:t>
            </w: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12,2</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5,34</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0,77</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3,99</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2,01</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0,54</w:t>
            </w:r>
          </w:p>
        </w:tc>
        <w:tc>
          <w:tcPr>
            <w:tcW w:w="28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b.d.</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15</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MM113</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66,23</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0,44</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15,61</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3,78</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0,12</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2,07</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4,11</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3,59</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2,45</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0,18</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1,41</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115"/>
              <w:rPr>
                <w:rFonts w:ascii="Times New Roman" w:eastAsia="Arial" w:hAnsi="Times New Roman" w:cs="Times New Roman"/>
                <w:sz w:val="11"/>
                <w:szCs w:val="11"/>
              </w:rPr>
            </w:pPr>
            <w:r w:rsidRPr="00B12A32">
              <w:rPr>
                <w:rFonts w:ascii="Times New Roman" w:hAnsi="Times New Roman" w:cs="Times New Roman"/>
                <w:w w:val="105"/>
                <w:sz w:val="11"/>
              </w:rPr>
              <w:t>90</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427</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26</w:t>
            </w:r>
          </w:p>
        </w:tc>
        <w:tc>
          <w:tcPr>
            <w:tcW w:w="316" w:type="dxa"/>
            <w:tcBorders>
              <w:top w:val="nil"/>
              <w:left w:val="nil"/>
              <w:bottom w:val="nil"/>
              <w:right w:val="nil"/>
            </w:tcBorders>
          </w:tcPr>
          <w:p w:rsidR="00540C0B" w:rsidRPr="00B12A32" w:rsidRDefault="00540C0B" w:rsidP="00AE1B03">
            <w:pPr>
              <w:pStyle w:val="TableParagraph"/>
              <w:spacing w:before="1"/>
              <w:ind w:left="116"/>
              <w:rPr>
                <w:rFonts w:ascii="Times New Roman" w:eastAsia="Arial" w:hAnsi="Times New Roman" w:cs="Times New Roman"/>
                <w:sz w:val="11"/>
                <w:szCs w:val="11"/>
              </w:rPr>
            </w:pPr>
            <w:r w:rsidRPr="00B12A32">
              <w:rPr>
                <w:rFonts w:ascii="Times New Roman" w:hAnsi="Times New Roman" w:cs="Times New Roman"/>
                <w:w w:val="105"/>
                <w:sz w:val="11"/>
              </w:rPr>
              <w:t>95</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11</w:t>
            </w:r>
          </w:p>
        </w:tc>
        <w:tc>
          <w:tcPr>
            <w:tcW w:w="296" w:type="dxa"/>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14,6</w:t>
            </w:r>
          </w:p>
        </w:tc>
        <w:tc>
          <w:tcPr>
            <w:tcW w:w="341"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27,0</w:t>
            </w: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10,8</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2,47</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0,79</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2,04</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1,85</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0,16</w:t>
            </w:r>
          </w:p>
        </w:tc>
        <w:tc>
          <w:tcPr>
            <w:tcW w:w="289"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10</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27</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rhyolite</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MM114</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71,42</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0,17</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12,66</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1,50</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0,12</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2,50</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2,40</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5,27</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1,43</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0,21</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2,33</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115"/>
              <w:rPr>
                <w:rFonts w:ascii="Times New Roman" w:eastAsia="Arial" w:hAnsi="Times New Roman" w:cs="Times New Roman"/>
                <w:sz w:val="11"/>
                <w:szCs w:val="11"/>
              </w:rPr>
            </w:pPr>
            <w:r w:rsidRPr="00B12A32">
              <w:rPr>
                <w:rFonts w:ascii="Times New Roman" w:hAnsi="Times New Roman" w:cs="Times New Roman"/>
                <w:w w:val="105"/>
                <w:sz w:val="11"/>
              </w:rPr>
              <w:t>10</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183</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13</w:t>
            </w:r>
          </w:p>
        </w:tc>
        <w:tc>
          <w:tcPr>
            <w:tcW w:w="316" w:type="dxa"/>
            <w:tcBorders>
              <w:top w:val="nil"/>
              <w:left w:val="nil"/>
              <w:bottom w:val="nil"/>
              <w:right w:val="nil"/>
            </w:tcBorders>
          </w:tcPr>
          <w:p w:rsidR="00540C0B" w:rsidRPr="00B12A32" w:rsidRDefault="00540C0B" w:rsidP="00AE1B03">
            <w:pPr>
              <w:pStyle w:val="TableParagraph"/>
              <w:spacing w:before="1"/>
              <w:ind w:left="116"/>
              <w:rPr>
                <w:rFonts w:ascii="Times New Roman" w:eastAsia="Arial" w:hAnsi="Times New Roman" w:cs="Times New Roman"/>
                <w:sz w:val="11"/>
                <w:szCs w:val="11"/>
              </w:rPr>
            </w:pPr>
            <w:r w:rsidRPr="00B12A32">
              <w:rPr>
                <w:rFonts w:ascii="Times New Roman" w:hAnsi="Times New Roman" w:cs="Times New Roman"/>
                <w:w w:val="105"/>
                <w:sz w:val="11"/>
              </w:rPr>
              <w:t>73</w:t>
            </w:r>
          </w:p>
        </w:tc>
        <w:tc>
          <w:tcPr>
            <w:tcW w:w="225" w:type="dxa"/>
            <w:tcBorders>
              <w:top w:val="nil"/>
              <w:left w:val="nil"/>
              <w:bottom w:val="nil"/>
              <w:right w:val="nil"/>
            </w:tcBorders>
          </w:tcPr>
          <w:p w:rsidR="00540C0B" w:rsidRPr="00B12A32" w:rsidRDefault="00540C0B" w:rsidP="00AE1B03">
            <w:pPr>
              <w:pStyle w:val="TableParagraph"/>
              <w:spacing w:before="1"/>
              <w:ind w:left="6"/>
              <w:jc w:val="center"/>
              <w:rPr>
                <w:rFonts w:ascii="Times New Roman" w:eastAsia="Arial" w:hAnsi="Times New Roman" w:cs="Times New Roman"/>
                <w:sz w:val="11"/>
                <w:szCs w:val="11"/>
              </w:rPr>
            </w:pPr>
            <w:r w:rsidRPr="00B12A32">
              <w:rPr>
                <w:rFonts w:ascii="Times New Roman" w:hAnsi="Times New Roman" w:cs="Times New Roman"/>
                <w:w w:val="102"/>
                <w:sz w:val="11"/>
              </w:rPr>
              <w:t>7</w:t>
            </w:r>
          </w:p>
        </w:tc>
        <w:tc>
          <w:tcPr>
            <w:tcW w:w="296" w:type="dxa"/>
            <w:tcBorders>
              <w:top w:val="nil"/>
              <w:left w:val="nil"/>
              <w:bottom w:val="nil"/>
              <w:right w:val="nil"/>
            </w:tcBorders>
          </w:tcPr>
          <w:p w:rsidR="00540C0B" w:rsidRPr="00B12A32" w:rsidRDefault="00540C0B" w:rsidP="00AE1B03">
            <w:pPr>
              <w:pStyle w:val="TableParagraph"/>
              <w:spacing w:before="1"/>
              <w:ind w:left="68"/>
              <w:rPr>
                <w:rFonts w:ascii="Times New Roman" w:eastAsia="Arial" w:hAnsi="Times New Roman" w:cs="Times New Roman"/>
                <w:sz w:val="11"/>
                <w:szCs w:val="11"/>
              </w:rPr>
            </w:pPr>
            <w:r w:rsidRPr="00B12A32">
              <w:rPr>
                <w:rFonts w:ascii="Times New Roman" w:hAnsi="Times New Roman" w:cs="Times New Roman"/>
                <w:w w:val="105"/>
                <w:sz w:val="11"/>
              </w:rPr>
              <w:t>9,0</w:t>
            </w:r>
          </w:p>
        </w:tc>
        <w:tc>
          <w:tcPr>
            <w:tcW w:w="341"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18,1</w:t>
            </w:r>
          </w:p>
        </w:tc>
        <w:tc>
          <w:tcPr>
            <w:tcW w:w="312" w:type="dxa"/>
            <w:tcBorders>
              <w:top w:val="nil"/>
              <w:left w:val="nil"/>
              <w:bottom w:val="nil"/>
              <w:right w:val="nil"/>
            </w:tcBorders>
          </w:tcPr>
          <w:p w:rsidR="00540C0B" w:rsidRPr="00B12A32" w:rsidRDefault="00540C0B" w:rsidP="00AE1B03">
            <w:pPr>
              <w:pStyle w:val="TableParagraph"/>
              <w:spacing w:before="1"/>
              <w:ind w:left="86"/>
              <w:rPr>
                <w:rFonts w:ascii="Times New Roman" w:eastAsia="Arial" w:hAnsi="Times New Roman" w:cs="Times New Roman"/>
                <w:sz w:val="11"/>
                <w:szCs w:val="11"/>
              </w:rPr>
            </w:pPr>
            <w:r w:rsidRPr="00B12A32">
              <w:rPr>
                <w:rFonts w:ascii="Times New Roman" w:hAnsi="Times New Roman" w:cs="Times New Roman"/>
                <w:w w:val="105"/>
                <w:sz w:val="11"/>
              </w:rPr>
              <w:t>9,4</w:t>
            </w:r>
          </w:p>
        </w:tc>
        <w:tc>
          <w:tcPr>
            <w:tcW w:w="297" w:type="dxa"/>
            <w:tcBorders>
              <w:top w:val="nil"/>
              <w:left w:val="nil"/>
              <w:bottom w:val="nil"/>
              <w:right w:val="nil"/>
            </w:tcBorders>
          </w:tcPr>
          <w:p w:rsidR="00540C0B" w:rsidRPr="00B12A32" w:rsidRDefault="00540C0B" w:rsidP="00AE1B03">
            <w:pPr>
              <w:pStyle w:val="TableParagraph"/>
              <w:spacing w:before="1"/>
              <w:ind w:left="43"/>
              <w:rPr>
                <w:rFonts w:ascii="Times New Roman" w:eastAsia="Arial" w:hAnsi="Times New Roman" w:cs="Times New Roman"/>
                <w:sz w:val="11"/>
                <w:szCs w:val="11"/>
              </w:rPr>
            </w:pPr>
            <w:r w:rsidRPr="00B12A32">
              <w:rPr>
                <w:rFonts w:ascii="Times New Roman" w:hAnsi="Times New Roman" w:cs="Times New Roman"/>
                <w:w w:val="105"/>
                <w:sz w:val="11"/>
              </w:rPr>
              <w:t>1,85</w:t>
            </w:r>
          </w:p>
        </w:tc>
        <w:tc>
          <w:tcPr>
            <w:tcW w:w="293" w:type="dxa"/>
            <w:tcBorders>
              <w:top w:val="nil"/>
              <w:left w:val="nil"/>
              <w:bottom w:val="nil"/>
              <w:right w:val="nil"/>
            </w:tcBorders>
          </w:tcPr>
          <w:p w:rsidR="00540C0B" w:rsidRPr="00B12A32" w:rsidRDefault="00540C0B" w:rsidP="00AE1B03">
            <w:pPr>
              <w:pStyle w:val="TableParagraph"/>
              <w:spacing w:before="1"/>
              <w:ind w:left="35"/>
              <w:rPr>
                <w:rFonts w:ascii="Times New Roman" w:eastAsia="Arial" w:hAnsi="Times New Roman" w:cs="Times New Roman"/>
                <w:sz w:val="11"/>
                <w:szCs w:val="11"/>
              </w:rPr>
            </w:pPr>
            <w:r w:rsidRPr="00B12A32">
              <w:rPr>
                <w:rFonts w:ascii="Times New Roman" w:hAnsi="Times New Roman" w:cs="Times New Roman"/>
                <w:w w:val="105"/>
                <w:sz w:val="11"/>
              </w:rPr>
              <w:t>0,60</w:t>
            </w:r>
          </w:p>
        </w:tc>
        <w:tc>
          <w:tcPr>
            <w:tcW w:w="299"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1,67</w:t>
            </w:r>
          </w:p>
        </w:tc>
        <w:tc>
          <w:tcPr>
            <w:tcW w:w="299"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0,49</w:t>
            </w:r>
          </w:p>
        </w:tc>
        <w:tc>
          <w:tcPr>
            <w:tcW w:w="298"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0,95</w:t>
            </w:r>
          </w:p>
        </w:tc>
        <w:tc>
          <w:tcPr>
            <w:tcW w:w="289"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24</w:t>
            </w:r>
          </w:p>
        </w:tc>
        <w:tc>
          <w:tcPr>
            <w:tcW w:w="214" w:type="dxa"/>
            <w:tcBorders>
              <w:top w:val="nil"/>
              <w:left w:val="nil"/>
              <w:bottom w:val="nil"/>
              <w:right w:val="single" w:sz="4" w:space="0" w:color="000000"/>
            </w:tcBorders>
          </w:tcPr>
          <w:p w:rsidR="00540C0B" w:rsidRPr="00B12A32" w:rsidRDefault="00540C0B" w:rsidP="00AE1B03">
            <w:pPr>
              <w:pStyle w:val="TableParagraph"/>
              <w:spacing w:before="1"/>
              <w:ind w:left="62"/>
              <w:rPr>
                <w:rFonts w:ascii="Times New Roman" w:eastAsia="Arial" w:hAnsi="Times New Roman" w:cs="Times New Roman"/>
                <w:sz w:val="11"/>
                <w:szCs w:val="11"/>
              </w:rPr>
            </w:pPr>
            <w:r w:rsidRPr="00B12A32">
              <w:rPr>
                <w:rFonts w:ascii="Times New Roman" w:hAnsi="Times New Roman" w:cs="Times New Roman"/>
                <w:w w:val="105"/>
                <w:sz w:val="11"/>
              </w:rPr>
              <w:t>10</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163"/>
              <w:rPr>
                <w:rFonts w:ascii="Times New Roman" w:eastAsia="Arial" w:hAnsi="Times New Roman" w:cs="Times New Roman"/>
                <w:sz w:val="11"/>
                <w:szCs w:val="11"/>
              </w:rPr>
            </w:pPr>
            <w:r w:rsidRPr="00B12A32">
              <w:rPr>
                <w:rFonts w:ascii="Times New Roman" w:hAnsi="Times New Roman" w:cs="Times New Roman"/>
                <w:w w:val="105"/>
                <w:sz w:val="11"/>
              </w:rPr>
              <w:t>((29.8))</w:t>
            </w: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Pieve S.</w:t>
            </w:r>
            <w:r w:rsidRPr="00B12A32">
              <w:rPr>
                <w:rFonts w:ascii="Times New Roman" w:hAnsi="Times New Roman" w:cs="Times New Roman"/>
                <w:spacing w:val="-25"/>
                <w:w w:val="105"/>
                <w:sz w:val="11"/>
              </w:rPr>
              <w:t xml:space="preserve"> </w:t>
            </w:r>
            <w:r w:rsidRPr="00B12A32">
              <w:rPr>
                <w:rFonts w:ascii="Times New Roman" w:hAnsi="Times New Roman" w:cs="Times New Roman"/>
                <w:w w:val="105"/>
                <w:sz w:val="11"/>
              </w:rPr>
              <w:t>Stefan</w:t>
            </w:r>
          </w:p>
        </w:tc>
        <w:tc>
          <w:tcPr>
            <w:tcW w:w="330" w:type="dxa"/>
            <w:tcBorders>
              <w:top w:val="nil"/>
              <w:left w:val="nil"/>
              <w:bottom w:val="nil"/>
              <w:right w:val="nil"/>
            </w:tcBorders>
          </w:tcPr>
          <w:p w:rsidR="00540C0B" w:rsidRPr="00B12A32" w:rsidRDefault="00540C0B" w:rsidP="00AE1B03">
            <w:pPr>
              <w:pStyle w:val="TableParagraph"/>
              <w:spacing w:before="1"/>
              <w:ind w:left="80"/>
              <w:rPr>
                <w:rFonts w:ascii="Times New Roman" w:eastAsia="Arial" w:hAnsi="Times New Roman" w:cs="Times New Roman"/>
                <w:sz w:val="11"/>
                <w:szCs w:val="11"/>
              </w:rPr>
            </w:pPr>
            <w:r w:rsidRPr="00B12A32">
              <w:rPr>
                <w:rFonts w:ascii="Times New Roman" w:hAnsi="Times New Roman" w:cs="Times New Roman"/>
                <w:w w:val="105"/>
                <w:sz w:val="11"/>
              </w:rPr>
              <w:t>13</w:t>
            </w:r>
          </w:p>
        </w:tc>
        <w:tc>
          <w:tcPr>
            <w:tcW w:w="393" w:type="dxa"/>
            <w:tcBorders>
              <w:top w:val="nil"/>
              <w:left w:val="nil"/>
              <w:bottom w:val="nil"/>
              <w:right w:val="nil"/>
            </w:tcBorders>
          </w:tcPr>
          <w:p w:rsidR="00540C0B" w:rsidRPr="00B12A32" w:rsidRDefault="00540C0B" w:rsidP="00AE1B03">
            <w:pPr>
              <w:pStyle w:val="TableParagraph"/>
              <w:spacing w:before="1"/>
              <w:ind w:left="25"/>
              <w:jc w:val="center"/>
              <w:rPr>
                <w:rFonts w:ascii="Times New Roman" w:eastAsia="Arial" w:hAnsi="Times New Roman" w:cs="Times New Roman"/>
                <w:sz w:val="11"/>
                <w:szCs w:val="11"/>
              </w:rPr>
            </w:pPr>
            <w:r w:rsidRPr="00B12A32">
              <w:rPr>
                <w:rFonts w:ascii="Times New Roman" w:hAnsi="Times New Roman" w:cs="Times New Roman"/>
                <w:w w:val="102"/>
                <w:sz w:val="11"/>
              </w:rPr>
              <w:t>1</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bas.</w:t>
            </w:r>
            <w:r w:rsidRPr="00B12A32">
              <w:rPr>
                <w:rFonts w:ascii="Times New Roman" w:hAnsi="Times New Roman" w:cs="Times New Roman"/>
                <w:spacing w:val="-20"/>
                <w:w w:val="105"/>
                <w:sz w:val="11"/>
              </w:rPr>
              <w:t xml:space="preserve"> </w:t>
            </w:r>
            <w:r w:rsidRPr="00B12A32">
              <w:rPr>
                <w:rFonts w:ascii="Times New Roman" w:hAnsi="Times New Roman" w:cs="Times New Roman"/>
                <w:w w:val="105"/>
                <w:sz w:val="11"/>
              </w:rPr>
              <w:t>andesite</w:t>
            </w:r>
          </w:p>
        </w:tc>
        <w:tc>
          <w:tcPr>
            <w:tcW w:w="524"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altered</w:t>
            </w:r>
          </w:p>
        </w:tc>
        <w:tc>
          <w:tcPr>
            <w:tcW w:w="424"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3870-2</w:t>
            </w:r>
          </w:p>
        </w:tc>
        <w:tc>
          <w:tcPr>
            <w:tcW w:w="356" w:type="dxa"/>
            <w:tcBorders>
              <w:top w:val="nil"/>
              <w:left w:val="nil"/>
              <w:bottom w:val="nil"/>
              <w:right w:val="nil"/>
            </w:tcBorders>
          </w:tcPr>
          <w:p w:rsidR="00540C0B" w:rsidRPr="00B12A32" w:rsidRDefault="00540C0B" w:rsidP="00AE1B03">
            <w:pPr>
              <w:pStyle w:val="TableParagraph"/>
              <w:spacing w:before="1"/>
              <w:ind w:left="105"/>
              <w:rPr>
                <w:rFonts w:ascii="Times New Roman" w:eastAsia="Arial" w:hAnsi="Times New Roman" w:cs="Times New Roman"/>
                <w:sz w:val="11"/>
                <w:szCs w:val="11"/>
              </w:rPr>
            </w:pPr>
            <w:r w:rsidRPr="00B12A32">
              <w:rPr>
                <w:rFonts w:ascii="Times New Roman" w:hAnsi="Times New Roman" w:cs="Times New Roman"/>
                <w:w w:val="105"/>
                <w:sz w:val="11"/>
              </w:rPr>
              <w:t>CA</w:t>
            </w: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106"/>
              <w:rPr>
                <w:rFonts w:ascii="Times New Roman" w:eastAsia="Arial" w:hAnsi="Times New Roman" w:cs="Times New Roman"/>
                <w:sz w:val="11"/>
                <w:szCs w:val="11"/>
              </w:rPr>
            </w:pPr>
            <w:r w:rsidRPr="00B12A32">
              <w:rPr>
                <w:rFonts w:ascii="Times New Roman" w:hAnsi="Times New Roman" w:cs="Times New Roman"/>
                <w:w w:val="105"/>
                <w:sz w:val="11"/>
              </w:rPr>
              <w:t>58</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0,85</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21,2</w:t>
            </w:r>
          </w:p>
        </w:tc>
        <w:tc>
          <w:tcPr>
            <w:tcW w:w="385" w:type="dxa"/>
            <w:tcBorders>
              <w:top w:val="nil"/>
              <w:left w:val="nil"/>
              <w:bottom w:val="nil"/>
              <w:right w:val="nil"/>
            </w:tcBorders>
          </w:tcPr>
          <w:p w:rsidR="00540C0B" w:rsidRPr="00B12A32" w:rsidRDefault="00540C0B" w:rsidP="00AE1B03">
            <w:pPr>
              <w:pStyle w:val="TableParagraph"/>
              <w:spacing w:before="1"/>
              <w:ind w:left="112"/>
              <w:rPr>
                <w:rFonts w:ascii="Times New Roman" w:eastAsia="Arial" w:hAnsi="Times New Roman" w:cs="Times New Roman"/>
                <w:sz w:val="11"/>
                <w:szCs w:val="11"/>
              </w:rPr>
            </w:pPr>
            <w:r w:rsidRPr="00B12A32">
              <w:rPr>
                <w:rFonts w:ascii="Times New Roman" w:hAnsi="Times New Roman" w:cs="Times New Roman"/>
                <w:w w:val="105"/>
                <w:sz w:val="11"/>
              </w:rPr>
              <w:t>3,2</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0,02</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1,30</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3,89</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3,83</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1,63</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0,12</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6,30</w:t>
            </w: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sz w:val="11"/>
              </w:rPr>
              <w:t>(oil</w:t>
            </w:r>
            <w:r w:rsidRPr="00B12A32">
              <w:rPr>
                <w:rFonts w:ascii="Times New Roman" w:hAnsi="Times New Roman" w:cs="Times New Roman"/>
                <w:spacing w:val="3"/>
                <w:sz w:val="11"/>
              </w:rPr>
              <w:t xml:space="preserve"> </w:t>
            </w:r>
            <w:r w:rsidRPr="00B12A32">
              <w:rPr>
                <w:rFonts w:ascii="Times New Roman" w:hAnsi="Times New Roman" w:cs="Times New Roman"/>
                <w:sz w:val="11"/>
              </w:rPr>
              <w:t>drilling)</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andesite</w:t>
            </w:r>
          </w:p>
        </w:tc>
        <w:tc>
          <w:tcPr>
            <w:tcW w:w="524" w:type="dxa"/>
            <w:tcBorders>
              <w:top w:val="nil"/>
              <w:left w:val="nil"/>
              <w:bottom w:val="nil"/>
              <w:right w:val="nil"/>
            </w:tcBorders>
          </w:tcPr>
          <w:p w:rsidR="00540C0B" w:rsidRPr="00B12A32" w:rsidRDefault="00540C0B" w:rsidP="00AE1B03">
            <w:pPr>
              <w:pStyle w:val="TableParagraph"/>
              <w:spacing w:before="1"/>
              <w:ind w:left="121"/>
              <w:rPr>
                <w:rFonts w:ascii="Times New Roman" w:eastAsia="Arial" w:hAnsi="Times New Roman" w:cs="Times New Roman"/>
                <w:sz w:val="11"/>
                <w:szCs w:val="11"/>
              </w:rPr>
            </w:pPr>
            <w:r w:rsidRPr="00B12A32">
              <w:rPr>
                <w:rFonts w:ascii="Times New Roman" w:hAnsi="Times New Roman" w:cs="Times New Roman"/>
                <w:w w:val="105"/>
                <w:sz w:val="11"/>
              </w:rPr>
              <w:t>rocks</w:t>
            </w:r>
          </w:p>
        </w:tc>
        <w:tc>
          <w:tcPr>
            <w:tcW w:w="424"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3870-1</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62,1</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0,62</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15,2</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4,54</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0,04</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1,62</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5,02</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2,09</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2,24</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0,11</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6,78</w:t>
            </w: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Oligocene</w:t>
            </w: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sz w:val="11"/>
              </w:rPr>
              <w:t>Ranzano</w:t>
            </w:r>
            <w:r w:rsidRPr="00B12A32">
              <w:rPr>
                <w:rFonts w:ascii="Times New Roman" w:hAnsi="Times New Roman" w:cs="Times New Roman"/>
                <w:spacing w:val="11"/>
                <w:sz w:val="11"/>
              </w:rPr>
              <w:t xml:space="preserve"> </w:t>
            </w:r>
            <w:r w:rsidRPr="00B12A32">
              <w:rPr>
                <w:rFonts w:ascii="Times New Roman" w:hAnsi="Times New Roman" w:cs="Times New Roman"/>
                <w:sz w:val="11"/>
              </w:rPr>
              <w:t>format</w:t>
            </w:r>
          </w:p>
        </w:tc>
        <w:tc>
          <w:tcPr>
            <w:tcW w:w="330"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26-25</w:t>
            </w:r>
          </w:p>
        </w:tc>
        <w:tc>
          <w:tcPr>
            <w:tcW w:w="393" w:type="dxa"/>
            <w:tcBorders>
              <w:top w:val="nil"/>
              <w:left w:val="nil"/>
              <w:bottom w:val="nil"/>
              <w:right w:val="nil"/>
            </w:tcBorders>
          </w:tcPr>
          <w:p w:rsidR="00540C0B" w:rsidRPr="00B12A32" w:rsidRDefault="00540C0B" w:rsidP="00AE1B03">
            <w:pPr>
              <w:pStyle w:val="TableParagraph"/>
              <w:spacing w:before="1"/>
              <w:ind w:left="25"/>
              <w:jc w:val="center"/>
              <w:rPr>
                <w:rFonts w:ascii="Times New Roman" w:eastAsia="Arial" w:hAnsi="Times New Roman" w:cs="Times New Roman"/>
                <w:sz w:val="11"/>
                <w:szCs w:val="11"/>
              </w:rPr>
            </w:pPr>
            <w:r w:rsidRPr="00B12A32">
              <w:rPr>
                <w:rFonts w:ascii="Times New Roman" w:hAnsi="Times New Roman" w:cs="Times New Roman"/>
                <w:w w:val="102"/>
                <w:sz w:val="11"/>
              </w:rPr>
              <w:t>2</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andesitic-</w:t>
            </w:r>
          </w:p>
        </w:tc>
        <w:tc>
          <w:tcPr>
            <w:tcW w:w="524" w:type="dxa"/>
            <w:tcBorders>
              <w:top w:val="nil"/>
              <w:left w:val="nil"/>
              <w:bottom w:val="nil"/>
              <w:right w:val="nil"/>
            </w:tcBorders>
          </w:tcPr>
          <w:p w:rsidR="00540C0B" w:rsidRPr="00B12A32" w:rsidRDefault="00540C0B" w:rsidP="00AE1B03">
            <w:pPr>
              <w:pStyle w:val="TableParagraph"/>
              <w:spacing w:before="1"/>
              <w:ind w:left="42"/>
              <w:rPr>
                <w:rFonts w:ascii="Times New Roman" w:eastAsia="Arial" w:hAnsi="Times New Roman" w:cs="Times New Roman"/>
                <w:sz w:val="11"/>
                <w:szCs w:val="11"/>
              </w:rPr>
            </w:pPr>
            <w:r w:rsidRPr="00B12A32">
              <w:rPr>
                <w:rFonts w:ascii="Times New Roman" w:hAnsi="Times New Roman" w:cs="Times New Roman"/>
                <w:w w:val="105"/>
                <w:sz w:val="11"/>
              </w:rPr>
              <w:t>volcano-</w:t>
            </w:r>
          </w:p>
        </w:tc>
        <w:tc>
          <w:tcPr>
            <w:tcW w:w="424" w:type="dxa"/>
            <w:tcBorders>
              <w:top w:val="nil"/>
              <w:left w:val="nil"/>
              <w:bottom w:val="nil"/>
              <w:right w:val="nil"/>
            </w:tcBorders>
          </w:tcPr>
          <w:p w:rsidR="00540C0B" w:rsidRPr="00B12A32" w:rsidRDefault="00540C0B" w:rsidP="00AE1B03">
            <w:pPr>
              <w:pStyle w:val="TableParagraph"/>
              <w:spacing w:before="1"/>
              <w:ind w:left="111"/>
              <w:rPr>
                <w:rFonts w:ascii="Times New Roman" w:eastAsia="Arial" w:hAnsi="Times New Roman" w:cs="Times New Roman"/>
                <w:sz w:val="11"/>
                <w:szCs w:val="11"/>
              </w:rPr>
            </w:pPr>
            <w:r w:rsidRPr="00B12A32">
              <w:rPr>
                <w:rFonts w:ascii="Times New Roman" w:hAnsi="Times New Roman" w:cs="Times New Roman"/>
                <w:w w:val="105"/>
                <w:sz w:val="11"/>
              </w:rPr>
              <w:t>34D</w:t>
            </w:r>
          </w:p>
        </w:tc>
        <w:tc>
          <w:tcPr>
            <w:tcW w:w="356" w:type="dxa"/>
            <w:tcBorders>
              <w:top w:val="nil"/>
              <w:left w:val="nil"/>
              <w:bottom w:val="nil"/>
              <w:right w:val="nil"/>
            </w:tcBorders>
          </w:tcPr>
          <w:p w:rsidR="00540C0B" w:rsidRPr="00B12A32" w:rsidRDefault="00540C0B" w:rsidP="00AE1B03">
            <w:pPr>
              <w:pStyle w:val="TableParagraph"/>
              <w:spacing w:before="1"/>
              <w:ind w:left="105"/>
              <w:rPr>
                <w:rFonts w:ascii="Times New Roman" w:eastAsia="Arial" w:hAnsi="Times New Roman" w:cs="Times New Roman"/>
                <w:sz w:val="11"/>
                <w:szCs w:val="11"/>
              </w:rPr>
            </w:pPr>
            <w:r w:rsidRPr="00B12A32">
              <w:rPr>
                <w:rFonts w:ascii="Times New Roman" w:hAnsi="Times New Roman" w:cs="Times New Roman"/>
                <w:w w:val="105"/>
                <w:sz w:val="11"/>
              </w:rPr>
              <w:t>CA</w:t>
            </w: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amphibole</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45,18</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1,44</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9,19</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22"/>
              <w:rPr>
                <w:rFonts w:ascii="Times New Roman" w:eastAsia="Arial" w:hAnsi="Times New Roman" w:cs="Times New Roman"/>
                <w:sz w:val="11"/>
                <w:szCs w:val="11"/>
              </w:rPr>
            </w:pPr>
            <w:r w:rsidRPr="00B12A32">
              <w:rPr>
                <w:rFonts w:ascii="Times New Roman" w:hAnsi="Times New Roman" w:cs="Times New Roman"/>
                <w:w w:val="105"/>
                <w:sz w:val="11"/>
              </w:rPr>
              <w:t>15,73</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0,47</w:t>
            </w:r>
          </w:p>
        </w:tc>
        <w:tc>
          <w:tcPr>
            <w:tcW w:w="350" w:type="dxa"/>
            <w:tcBorders>
              <w:top w:val="nil"/>
              <w:left w:val="nil"/>
              <w:bottom w:val="nil"/>
              <w:right w:val="nil"/>
            </w:tcBorders>
          </w:tcPr>
          <w:p w:rsidR="00540C0B" w:rsidRPr="00B12A32" w:rsidRDefault="00540C0B" w:rsidP="00AE1B03">
            <w:pPr>
              <w:pStyle w:val="TableParagraph"/>
              <w:spacing w:before="1"/>
              <w:ind w:left="30"/>
              <w:rPr>
                <w:rFonts w:ascii="Times New Roman" w:eastAsia="Arial" w:hAnsi="Times New Roman" w:cs="Times New Roman"/>
                <w:sz w:val="11"/>
                <w:szCs w:val="11"/>
              </w:rPr>
            </w:pPr>
            <w:r w:rsidRPr="00B12A32">
              <w:rPr>
                <w:rFonts w:ascii="Times New Roman" w:hAnsi="Times New Roman" w:cs="Times New Roman"/>
                <w:w w:val="105"/>
                <w:sz w:val="11"/>
              </w:rPr>
              <w:t>12,82</w:t>
            </w:r>
          </w:p>
        </w:tc>
        <w:tc>
          <w:tcPr>
            <w:tcW w:w="341" w:type="dxa"/>
            <w:tcBorders>
              <w:top w:val="nil"/>
              <w:left w:val="nil"/>
              <w:bottom w:val="nil"/>
              <w:right w:val="nil"/>
            </w:tcBorders>
          </w:tcPr>
          <w:p w:rsidR="00540C0B" w:rsidRPr="00B12A32" w:rsidRDefault="00540C0B" w:rsidP="00AE1B03">
            <w:pPr>
              <w:pStyle w:val="TableParagraph"/>
              <w:spacing w:before="1"/>
              <w:ind w:left="38"/>
              <w:rPr>
                <w:rFonts w:ascii="Times New Roman" w:eastAsia="Arial" w:hAnsi="Times New Roman" w:cs="Times New Roman"/>
                <w:sz w:val="11"/>
                <w:szCs w:val="11"/>
              </w:rPr>
            </w:pPr>
            <w:r w:rsidRPr="00B12A32">
              <w:rPr>
                <w:rFonts w:ascii="Times New Roman" w:hAnsi="Times New Roman" w:cs="Times New Roman"/>
                <w:w w:val="105"/>
                <w:sz w:val="11"/>
              </w:rPr>
              <w:t>10,98</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1,63</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0,55</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(32-30</w:t>
            </w:r>
            <w:r w:rsidRPr="00B12A32">
              <w:rPr>
                <w:rFonts w:ascii="Times New Roman" w:hAnsi="Times New Roman" w:cs="Times New Roman"/>
                <w:spacing w:val="-16"/>
                <w:w w:val="105"/>
                <w:sz w:val="11"/>
              </w:rPr>
              <w:t xml:space="preserve"> </w:t>
            </w:r>
            <w:r w:rsidRPr="00B12A32">
              <w:rPr>
                <w:rFonts w:ascii="Times New Roman" w:hAnsi="Times New Roman" w:cs="Times New Roman"/>
                <w:w w:val="105"/>
                <w:sz w:val="11"/>
              </w:rPr>
              <w:t>Ma</w:t>
            </w:r>
          </w:p>
        </w:tc>
        <w:tc>
          <w:tcPr>
            <w:tcW w:w="905" w:type="dxa"/>
            <w:tcBorders>
              <w:top w:val="nil"/>
              <w:left w:val="nil"/>
              <w:bottom w:val="nil"/>
              <w:right w:val="nil"/>
            </w:tcBorders>
          </w:tcPr>
          <w:p w:rsidR="00540C0B" w:rsidRPr="00B12A32" w:rsidRDefault="00540C0B" w:rsidP="00AE1B03">
            <w:pPr>
              <w:pStyle w:val="TableParagraph"/>
              <w:spacing w:before="1"/>
              <w:ind w:right="9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dacite</w:t>
            </w:r>
          </w:p>
        </w:tc>
        <w:tc>
          <w:tcPr>
            <w:tcW w:w="524" w:type="dxa"/>
            <w:tcBorders>
              <w:top w:val="nil"/>
              <w:left w:val="nil"/>
              <w:bottom w:val="nil"/>
              <w:right w:val="nil"/>
            </w:tcBorders>
          </w:tcPr>
          <w:p w:rsidR="00540C0B" w:rsidRPr="00B12A32" w:rsidRDefault="00540C0B" w:rsidP="00AE1B03">
            <w:pPr>
              <w:pStyle w:val="TableParagraph"/>
              <w:spacing w:before="1"/>
              <w:ind w:left="99"/>
              <w:rPr>
                <w:rFonts w:ascii="Times New Roman" w:eastAsia="Arial" w:hAnsi="Times New Roman" w:cs="Times New Roman"/>
                <w:sz w:val="11"/>
                <w:szCs w:val="11"/>
              </w:rPr>
            </w:pPr>
            <w:r w:rsidRPr="00B12A32">
              <w:rPr>
                <w:rFonts w:ascii="Times New Roman" w:hAnsi="Times New Roman" w:cs="Times New Roman"/>
                <w:w w:val="105"/>
                <w:sz w:val="11"/>
              </w:rPr>
              <w:t>clastic</w:t>
            </w:r>
          </w:p>
        </w:tc>
        <w:tc>
          <w:tcPr>
            <w:tcW w:w="424" w:type="dxa"/>
            <w:tcBorders>
              <w:top w:val="nil"/>
              <w:left w:val="nil"/>
              <w:bottom w:val="nil"/>
              <w:right w:val="nil"/>
            </w:tcBorders>
          </w:tcPr>
          <w:p w:rsidR="00540C0B" w:rsidRPr="00B12A32" w:rsidRDefault="00540C0B" w:rsidP="00AE1B03">
            <w:pPr>
              <w:pStyle w:val="TableParagraph"/>
              <w:spacing w:before="1"/>
              <w:ind w:left="5"/>
              <w:jc w:val="center"/>
              <w:rPr>
                <w:rFonts w:ascii="Times New Roman" w:eastAsia="Arial" w:hAnsi="Times New Roman" w:cs="Times New Roman"/>
                <w:sz w:val="11"/>
                <w:szCs w:val="11"/>
              </w:rPr>
            </w:pPr>
            <w:r w:rsidRPr="00B12A32">
              <w:rPr>
                <w:rFonts w:ascii="Times New Roman" w:hAnsi="Times New Roman" w:cs="Times New Roman"/>
                <w:w w:val="105"/>
                <w:sz w:val="11"/>
              </w:rPr>
              <w:t>94</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biotite</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36,23</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4,18</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14,53</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22"/>
              <w:rPr>
                <w:rFonts w:ascii="Times New Roman" w:eastAsia="Arial" w:hAnsi="Times New Roman" w:cs="Times New Roman"/>
                <w:sz w:val="11"/>
                <w:szCs w:val="11"/>
              </w:rPr>
            </w:pPr>
            <w:r w:rsidRPr="00B12A32">
              <w:rPr>
                <w:rFonts w:ascii="Times New Roman" w:hAnsi="Times New Roman" w:cs="Times New Roman"/>
                <w:w w:val="105"/>
                <w:sz w:val="11"/>
              </w:rPr>
              <w:t>12,49</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0,16</w:t>
            </w:r>
          </w:p>
        </w:tc>
        <w:tc>
          <w:tcPr>
            <w:tcW w:w="350" w:type="dxa"/>
            <w:tcBorders>
              <w:top w:val="nil"/>
              <w:left w:val="nil"/>
              <w:bottom w:val="nil"/>
              <w:right w:val="nil"/>
            </w:tcBorders>
          </w:tcPr>
          <w:p w:rsidR="00540C0B" w:rsidRPr="00B12A32" w:rsidRDefault="00540C0B" w:rsidP="00AE1B03">
            <w:pPr>
              <w:pStyle w:val="TableParagraph"/>
              <w:spacing w:before="1"/>
              <w:ind w:left="30"/>
              <w:rPr>
                <w:rFonts w:ascii="Times New Roman" w:eastAsia="Arial" w:hAnsi="Times New Roman" w:cs="Times New Roman"/>
                <w:sz w:val="11"/>
                <w:szCs w:val="11"/>
              </w:rPr>
            </w:pPr>
            <w:r w:rsidRPr="00B12A32">
              <w:rPr>
                <w:rFonts w:ascii="Times New Roman" w:hAnsi="Times New Roman" w:cs="Times New Roman"/>
                <w:w w:val="105"/>
                <w:sz w:val="11"/>
              </w:rPr>
              <w:t>16,04</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0,03</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0,84</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8,56</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75"/>
              <w:rPr>
                <w:rFonts w:ascii="Times New Roman" w:eastAsia="Arial" w:hAnsi="Times New Roman" w:cs="Times New Roman"/>
                <w:sz w:val="11"/>
                <w:szCs w:val="11"/>
              </w:rPr>
            </w:pPr>
            <w:r w:rsidRPr="00B12A32">
              <w:rPr>
                <w:rFonts w:ascii="Times New Roman" w:hAnsi="Times New Roman" w:cs="Times New Roman"/>
                <w:w w:val="105"/>
                <w:sz w:val="11"/>
              </w:rPr>
              <w:t>93,04</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120"/>
              <w:rPr>
                <w:rFonts w:ascii="Times New Roman" w:eastAsia="Arial" w:hAnsi="Times New Roman" w:cs="Times New Roman"/>
                <w:sz w:val="11"/>
                <w:szCs w:val="11"/>
              </w:rPr>
            </w:pPr>
            <w:r w:rsidRPr="00B12A32">
              <w:rPr>
                <w:rFonts w:ascii="Times New Roman" w:hAnsi="Times New Roman" w:cs="Times New Roman"/>
                <w:w w:val="105"/>
                <w:sz w:val="11"/>
              </w:rPr>
              <w:t>128</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pyroxene</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52,84</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0,18</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2,10</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8,77</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0,77</w:t>
            </w:r>
          </w:p>
        </w:tc>
        <w:tc>
          <w:tcPr>
            <w:tcW w:w="350" w:type="dxa"/>
            <w:tcBorders>
              <w:top w:val="nil"/>
              <w:left w:val="nil"/>
              <w:bottom w:val="nil"/>
              <w:right w:val="nil"/>
            </w:tcBorders>
          </w:tcPr>
          <w:p w:rsidR="00540C0B" w:rsidRPr="00B12A32" w:rsidRDefault="00540C0B" w:rsidP="00AE1B03">
            <w:pPr>
              <w:pStyle w:val="TableParagraph"/>
              <w:spacing w:before="1"/>
              <w:ind w:left="30"/>
              <w:rPr>
                <w:rFonts w:ascii="Times New Roman" w:eastAsia="Arial" w:hAnsi="Times New Roman" w:cs="Times New Roman"/>
                <w:sz w:val="11"/>
                <w:szCs w:val="11"/>
              </w:rPr>
            </w:pPr>
            <w:r w:rsidRPr="00B12A32">
              <w:rPr>
                <w:rFonts w:ascii="Times New Roman" w:hAnsi="Times New Roman" w:cs="Times New Roman"/>
                <w:w w:val="105"/>
                <w:sz w:val="11"/>
              </w:rPr>
              <w:t>14,21</w:t>
            </w:r>
          </w:p>
        </w:tc>
        <w:tc>
          <w:tcPr>
            <w:tcW w:w="341" w:type="dxa"/>
            <w:tcBorders>
              <w:top w:val="nil"/>
              <w:left w:val="nil"/>
              <w:bottom w:val="nil"/>
              <w:right w:val="nil"/>
            </w:tcBorders>
          </w:tcPr>
          <w:p w:rsidR="00540C0B" w:rsidRPr="00B12A32" w:rsidRDefault="00540C0B" w:rsidP="00AE1B03">
            <w:pPr>
              <w:pStyle w:val="TableParagraph"/>
              <w:spacing w:before="1"/>
              <w:ind w:left="38"/>
              <w:rPr>
                <w:rFonts w:ascii="Times New Roman" w:eastAsia="Arial" w:hAnsi="Times New Roman" w:cs="Times New Roman"/>
                <w:sz w:val="11"/>
                <w:szCs w:val="11"/>
              </w:rPr>
            </w:pPr>
            <w:r w:rsidRPr="00B12A32">
              <w:rPr>
                <w:rFonts w:ascii="Times New Roman" w:hAnsi="Times New Roman" w:cs="Times New Roman"/>
                <w:w w:val="105"/>
                <w:sz w:val="11"/>
              </w:rPr>
              <w:t>22,15</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0,28</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0,00</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101,29</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14200" w:type="dxa"/>
            <w:gridSpan w:val="38"/>
            <w:tcBorders>
              <w:top w:val="nil"/>
              <w:left w:val="single" w:sz="4" w:space="0" w:color="000000"/>
              <w:bottom w:val="nil"/>
              <w:right w:val="single" w:sz="4" w:space="0" w:color="000000"/>
            </w:tcBorders>
          </w:tcPr>
          <w:p w:rsidR="00540C0B" w:rsidRPr="00B12A32" w:rsidRDefault="00540C0B" w:rsidP="00AE1B03">
            <w:pPr>
              <w:pStyle w:val="TableParagraph"/>
              <w:spacing w:before="1"/>
              <w:ind w:left="588"/>
              <w:rPr>
                <w:rFonts w:ascii="Times New Roman" w:eastAsia="Arial" w:hAnsi="Times New Roman" w:cs="Times New Roman"/>
                <w:sz w:val="11"/>
                <w:szCs w:val="11"/>
              </w:rPr>
            </w:pPr>
            <w:r w:rsidRPr="00B12A32">
              <w:rPr>
                <w:rFonts w:ascii="Times New Roman" w:hAnsi="Times New Roman" w:cs="Times New Roman"/>
                <w:w w:val="105"/>
                <w:sz w:val="11"/>
              </w:rPr>
              <w:t>NE</w:t>
            </w:r>
            <w:r w:rsidRPr="00B12A32">
              <w:rPr>
                <w:rFonts w:ascii="Times New Roman" w:hAnsi="Times New Roman" w:cs="Times New Roman"/>
                <w:spacing w:val="-15"/>
                <w:w w:val="105"/>
                <w:sz w:val="11"/>
              </w:rPr>
              <w:t xml:space="preserve"> </w:t>
            </w:r>
            <w:r w:rsidRPr="00B12A32">
              <w:rPr>
                <w:rFonts w:ascii="Times New Roman" w:hAnsi="Times New Roman" w:cs="Times New Roman"/>
                <w:w w:val="105"/>
                <w:sz w:val="11"/>
              </w:rPr>
              <w:t>Sicily</w:t>
            </w:r>
          </w:p>
        </w:tc>
      </w:tr>
      <w:tr w:rsidR="00540C0B" w:rsidRPr="00B12A32" w:rsidTr="00AE1B03">
        <w:trPr>
          <w:trHeight w:hRule="exact" w:val="140"/>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sz w:val="11"/>
              </w:rPr>
              <w:t>Reitano</w:t>
            </w:r>
            <w:r w:rsidRPr="00B12A32">
              <w:rPr>
                <w:rFonts w:ascii="Times New Roman" w:hAnsi="Times New Roman" w:cs="Times New Roman"/>
                <w:spacing w:val="11"/>
                <w:sz w:val="11"/>
              </w:rPr>
              <w:t xml:space="preserve"> </w:t>
            </w:r>
            <w:r w:rsidRPr="00B12A32">
              <w:rPr>
                <w:rFonts w:ascii="Times New Roman" w:hAnsi="Times New Roman" w:cs="Times New Roman"/>
                <w:sz w:val="11"/>
              </w:rPr>
              <w:t>flysch</w:t>
            </w:r>
          </w:p>
        </w:tc>
        <w:tc>
          <w:tcPr>
            <w:tcW w:w="330" w:type="dxa"/>
            <w:tcBorders>
              <w:top w:val="nil"/>
              <w:left w:val="nil"/>
              <w:bottom w:val="nil"/>
              <w:right w:val="nil"/>
            </w:tcBorders>
          </w:tcPr>
          <w:p w:rsidR="00540C0B" w:rsidRPr="00B12A32" w:rsidRDefault="00540C0B" w:rsidP="00AE1B03">
            <w:pPr>
              <w:pStyle w:val="TableParagraph"/>
              <w:spacing w:before="1"/>
              <w:ind w:left="80"/>
              <w:rPr>
                <w:rFonts w:ascii="Times New Roman" w:eastAsia="Arial" w:hAnsi="Times New Roman" w:cs="Times New Roman"/>
                <w:sz w:val="11"/>
                <w:szCs w:val="11"/>
              </w:rPr>
            </w:pPr>
            <w:r w:rsidRPr="00B12A32">
              <w:rPr>
                <w:rFonts w:ascii="Times New Roman" w:hAnsi="Times New Roman" w:cs="Times New Roman"/>
                <w:w w:val="105"/>
                <w:sz w:val="11"/>
              </w:rPr>
              <w:t>13</w:t>
            </w:r>
          </w:p>
        </w:tc>
        <w:tc>
          <w:tcPr>
            <w:tcW w:w="393" w:type="dxa"/>
            <w:tcBorders>
              <w:top w:val="nil"/>
              <w:left w:val="nil"/>
              <w:bottom w:val="nil"/>
              <w:right w:val="nil"/>
            </w:tcBorders>
          </w:tcPr>
          <w:p w:rsidR="00540C0B" w:rsidRPr="00B12A32" w:rsidRDefault="00540C0B" w:rsidP="00AE1B03">
            <w:pPr>
              <w:pStyle w:val="TableParagraph"/>
              <w:spacing w:before="1"/>
              <w:ind w:left="79"/>
              <w:rPr>
                <w:rFonts w:ascii="Times New Roman" w:eastAsia="Arial" w:hAnsi="Times New Roman" w:cs="Times New Roman"/>
                <w:sz w:val="11"/>
                <w:szCs w:val="11"/>
              </w:rPr>
            </w:pPr>
            <w:r w:rsidRPr="00B12A32">
              <w:rPr>
                <w:rFonts w:ascii="Times New Roman" w:hAnsi="Times New Roman" w:cs="Times New Roman"/>
                <w:w w:val="105"/>
                <w:sz w:val="11"/>
              </w:rPr>
              <w:t>3 &amp;</w:t>
            </w:r>
            <w:r w:rsidRPr="00B12A32">
              <w:rPr>
                <w:rFonts w:ascii="Times New Roman" w:hAnsi="Times New Roman" w:cs="Times New Roman"/>
                <w:spacing w:val="-8"/>
                <w:w w:val="105"/>
                <w:sz w:val="11"/>
              </w:rPr>
              <w:t xml:space="preserve"> </w:t>
            </w:r>
            <w:r w:rsidRPr="00B12A32">
              <w:rPr>
                <w:rFonts w:ascii="Times New Roman" w:hAnsi="Times New Roman" w:cs="Times New Roman"/>
                <w:w w:val="105"/>
                <w:sz w:val="11"/>
              </w:rPr>
              <w:t>4</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rhyolite</w:t>
            </w:r>
          </w:p>
        </w:tc>
        <w:tc>
          <w:tcPr>
            <w:tcW w:w="524" w:type="dxa"/>
            <w:tcBorders>
              <w:top w:val="nil"/>
              <w:left w:val="nil"/>
              <w:bottom w:val="nil"/>
              <w:right w:val="nil"/>
            </w:tcBorders>
          </w:tcPr>
          <w:p w:rsidR="00540C0B" w:rsidRPr="00B12A32" w:rsidRDefault="00540C0B" w:rsidP="00AE1B03">
            <w:pPr>
              <w:pStyle w:val="TableParagraph"/>
              <w:spacing w:before="1"/>
              <w:ind w:left="20"/>
              <w:rPr>
                <w:rFonts w:ascii="Times New Roman" w:eastAsia="Arial" w:hAnsi="Times New Roman" w:cs="Times New Roman"/>
                <w:sz w:val="11"/>
                <w:szCs w:val="11"/>
              </w:rPr>
            </w:pPr>
            <w:r w:rsidRPr="00B12A32">
              <w:rPr>
                <w:rFonts w:ascii="Times New Roman" w:hAnsi="Times New Roman" w:cs="Times New Roman"/>
                <w:w w:val="105"/>
                <w:sz w:val="11"/>
              </w:rPr>
              <w:t>lava</w:t>
            </w:r>
            <w:r w:rsidRPr="00B12A32">
              <w:rPr>
                <w:rFonts w:ascii="Times New Roman" w:hAnsi="Times New Roman" w:cs="Times New Roman"/>
                <w:spacing w:val="-11"/>
                <w:w w:val="105"/>
                <w:sz w:val="11"/>
              </w:rPr>
              <w:t xml:space="preserve"> </w:t>
            </w:r>
            <w:r w:rsidRPr="00B12A32">
              <w:rPr>
                <w:rFonts w:ascii="Times New Roman" w:hAnsi="Times New Roman" w:cs="Times New Roman"/>
                <w:w w:val="105"/>
                <w:sz w:val="11"/>
              </w:rPr>
              <w:t>clast</w:t>
            </w:r>
          </w:p>
        </w:tc>
        <w:tc>
          <w:tcPr>
            <w:tcW w:w="424" w:type="dxa"/>
            <w:tcBorders>
              <w:top w:val="nil"/>
              <w:left w:val="nil"/>
              <w:bottom w:val="nil"/>
              <w:right w:val="nil"/>
            </w:tcBorders>
          </w:tcPr>
          <w:p w:rsidR="00540C0B" w:rsidRPr="00B12A32" w:rsidRDefault="00540C0B" w:rsidP="00AE1B03">
            <w:pPr>
              <w:pStyle w:val="TableParagraph"/>
              <w:spacing w:before="1"/>
              <w:ind w:left="82"/>
              <w:rPr>
                <w:rFonts w:ascii="Times New Roman" w:eastAsia="Arial" w:hAnsi="Times New Roman" w:cs="Times New Roman"/>
                <w:sz w:val="11"/>
                <w:szCs w:val="11"/>
              </w:rPr>
            </w:pPr>
            <w:r w:rsidRPr="00B12A32">
              <w:rPr>
                <w:rFonts w:ascii="Times New Roman" w:hAnsi="Times New Roman" w:cs="Times New Roman"/>
                <w:w w:val="105"/>
                <w:sz w:val="11"/>
              </w:rPr>
              <w:t>5(24)</w:t>
            </w:r>
          </w:p>
        </w:tc>
        <w:tc>
          <w:tcPr>
            <w:tcW w:w="356" w:type="dxa"/>
            <w:tcBorders>
              <w:top w:val="nil"/>
              <w:left w:val="nil"/>
              <w:bottom w:val="nil"/>
              <w:right w:val="nil"/>
            </w:tcBorders>
          </w:tcPr>
          <w:p w:rsidR="00540C0B" w:rsidRPr="00B12A32" w:rsidRDefault="00540C0B" w:rsidP="00AE1B03">
            <w:pPr>
              <w:pStyle w:val="TableParagraph"/>
              <w:spacing w:before="1"/>
              <w:ind w:left="28"/>
              <w:rPr>
                <w:rFonts w:ascii="Times New Roman" w:eastAsia="Arial" w:hAnsi="Times New Roman" w:cs="Times New Roman"/>
                <w:sz w:val="11"/>
                <w:szCs w:val="11"/>
              </w:rPr>
            </w:pPr>
            <w:r w:rsidRPr="00B12A32">
              <w:rPr>
                <w:rFonts w:ascii="Times New Roman" w:hAnsi="Times New Roman" w:cs="Times New Roman"/>
                <w:w w:val="105"/>
                <w:sz w:val="11"/>
              </w:rPr>
              <w:t>K-</w:t>
            </w: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64,6</w:t>
            </w: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20,2</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0,57</w:t>
            </w: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0,16</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0,11</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2,44</w:t>
            </w:r>
          </w:p>
        </w:tc>
        <w:tc>
          <w:tcPr>
            <w:tcW w:w="346" w:type="dxa"/>
            <w:tcBorders>
              <w:top w:val="nil"/>
              <w:left w:val="nil"/>
              <w:bottom w:val="nil"/>
              <w:right w:val="nil"/>
            </w:tcBorders>
          </w:tcPr>
          <w:p w:rsidR="00540C0B" w:rsidRPr="00B12A32" w:rsidRDefault="00540C0B" w:rsidP="00AE1B03">
            <w:pPr>
              <w:pStyle w:val="TableParagraph"/>
              <w:spacing w:before="1"/>
              <w:ind w:left="30"/>
              <w:rPr>
                <w:rFonts w:ascii="Times New Roman" w:eastAsia="Arial" w:hAnsi="Times New Roman" w:cs="Times New Roman"/>
                <w:sz w:val="11"/>
                <w:szCs w:val="11"/>
              </w:rPr>
            </w:pPr>
            <w:r w:rsidRPr="00B12A32">
              <w:rPr>
                <w:rFonts w:ascii="Times New Roman" w:hAnsi="Times New Roman" w:cs="Times New Roman"/>
                <w:w w:val="105"/>
                <w:sz w:val="11"/>
              </w:rPr>
              <w:t>11,58</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0,08</w:t>
            </w: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75"/>
              <w:rPr>
                <w:rFonts w:ascii="Times New Roman" w:eastAsia="Arial" w:hAnsi="Times New Roman" w:cs="Times New Roman"/>
                <w:sz w:val="11"/>
                <w:szCs w:val="11"/>
              </w:rPr>
            </w:pPr>
            <w:r w:rsidRPr="00B12A32">
              <w:rPr>
                <w:rFonts w:ascii="Times New Roman" w:hAnsi="Times New Roman" w:cs="Times New Roman"/>
                <w:w w:val="105"/>
                <w:sz w:val="11"/>
              </w:rPr>
              <w:t>100,6</w:t>
            </w:r>
          </w:p>
        </w:tc>
        <w:tc>
          <w:tcPr>
            <w:tcW w:w="722" w:type="dxa"/>
            <w:gridSpan w:val="2"/>
            <w:tcBorders>
              <w:top w:val="nil"/>
              <w:left w:val="nil"/>
              <w:bottom w:val="nil"/>
              <w:right w:val="nil"/>
            </w:tcBorders>
          </w:tcPr>
          <w:p w:rsidR="00540C0B" w:rsidRPr="00B12A32" w:rsidRDefault="00540C0B" w:rsidP="00AE1B03">
            <w:pPr>
              <w:pStyle w:val="TableParagraph"/>
              <w:spacing w:before="1"/>
              <w:ind w:left="36"/>
              <w:rPr>
                <w:rFonts w:ascii="Times New Roman" w:eastAsia="Arial" w:hAnsi="Times New Roman" w:cs="Times New Roman"/>
                <w:sz w:val="11"/>
                <w:szCs w:val="11"/>
              </w:rPr>
            </w:pPr>
            <w:r w:rsidRPr="00B12A32">
              <w:rPr>
                <w:rFonts w:ascii="Times New Roman" w:hAnsi="Times New Roman" w:cs="Times New Roman"/>
                <w:w w:val="105"/>
                <w:sz w:val="11"/>
              </w:rPr>
              <w:t>(0.34%BaO)</w:t>
            </w:r>
          </w:p>
        </w:tc>
        <w:tc>
          <w:tcPr>
            <w:tcW w:w="591"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521"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653"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590"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598"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587" w:type="dxa"/>
            <w:gridSpan w:val="2"/>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20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137"/>
              <w:rPr>
                <w:rFonts w:ascii="Times New Roman" w:eastAsia="Arial" w:hAnsi="Times New Roman" w:cs="Times New Roman"/>
                <w:sz w:val="11"/>
                <w:szCs w:val="11"/>
              </w:rPr>
            </w:pPr>
            <w:r w:rsidRPr="00B12A32">
              <w:rPr>
                <w:rFonts w:ascii="Times New Roman" w:hAnsi="Times New Roman" w:cs="Times New Roman"/>
                <w:w w:val="105"/>
                <w:sz w:val="11"/>
              </w:rPr>
              <w:t>s</w:t>
            </w:r>
            <w:r w:rsidRPr="00B12A32">
              <w:rPr>
                <w:rFonts w:ascii="Times New Roman" w:hAnsi="Times New Roman" w:cs="Times New Roman"/>
                <w:spacing w:val="-4"/>
                <w:w w:val="105"/>
                <w:sz w:val="11"/>
              </w:rPr>
              <w:t xml:space="preserve"> </w:t>
            </w:r>
            <w:r w:rsidRPr="00B12A32">
              <w:rPr>
                <w:rFonts w:ascii="Times New Roman" w:hAnsi="Times New Roman" w:cs="Times New Roman"/>
                <w:w w:val="105"/>
                <w:sz w:val="11"/>
              </w:rPr>
              <w:t>2</w:t>
            </w:r>
          </w:p>
        </w:tc>
        <w:tc>
          <w:tcPr>
            <w:tcW w:w="799" w:type="dxa"/>
            <w:gridSpan w:val="2"/>
            <w:tcBorders>
              <w:top w:val="nil"/>
              <w:left w:val="nil"/>
              <w:bottom w:val="nil"/>
              <w:right w:val="nil"/>
            </w:tcBorders>
          </w:tcPr>
          <w:p w:rsidR="00540C0B" w:rsidRPr="00B12A32" w:rsidRDefault="00540C0B" w:rsidP="00AE1B03">
            <w:pPr>
              <w:pStyle w:val="TableParagraph"/>
              <w:spacing w:before="1"/>
              <w:ind w:left="28"/>
              <w:rPr>
                <w:rFonts w:ascii="Times New Roman" w:eastAsia="Arial" w:hAnsi="Times New Roman" w:cs="Times New Roman"/>
                <w:sz w:val="11"/>
                <w:szCs w:val="11"/>
              </w:rPr>
            </w:pPr>
            <w:r w:rsidRPr="00B12A32">
              <w:rPr>
                <w:rFonts w:ascii="Times New Roman" w:hAnsi="Times New Roman" w:cs="Times New Roman"/>
                <w:w w:val="105"/>
                <w:sz w:val="11"/>
              </w:rPr>
              <w:t>alkaline</w:t>
            </w: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pyroxene</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52,46</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0,40</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1,75</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9,84</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0,55</w:t>
            </w:r>
          </w:p>
        </w:tc>
        <w:tc>
          <w:tcPr>
            <w:tcW w:w="350" w:type="dxa"/>
            <w:tcBorders>
              <w:top w:val="nil"/>
              <w:left w:val="nil"/>
              <w:bottom w:val="nil"/>
              <w:right w:val="nil"/>
            </w:tcBorders>
          </w:tcPr>
          <w:p w:rsidR="00540C0B" w:rsidRPr="00B12A32" w:rsidRDefault="00540C0B" w:rsidP="00AE1B03">
            <w:pPr>
              <w:pStyle w:val="TableParagraph"/>
              <w:spacing w:before="1"/>
              <w:ind w:left="30"/>
              <w:rPr>
                <w:rFonts w:ascii="Times New Roman" w:eastAsia="Arial" w:hAnsi="Times New Roman" w:cs="Times New Roman"/>
                <w:sz w:val="11"/>
                <w:szCs w:val="11"/>
              </w:rPr>
            </w:pPr>
            <w:r w:rsidRPr="00B12A32">
              <w:rPr>
                <w:rFonts w:ascii="Times New Roman" w:hAnsi="Times New Roman" w:cs="Times New Roman"/>
                <w:w w:val="105"/>
                <w:sz w:val="11"/>
              </w:rPr>
              <w:t>14,99</w:t>
            </w:r>
          </w:p>
        </w:tc>
        <w:tc>
          <w:tcPr>
            <w:tcW w:w="341" w:type="dxa"/>
            <w:tcBorders>
              <w:top w:val="nil"/>
              <w:left w:val="nil"/>
              <w:bottom w:val="nil"/>
              <w:right w:val="nil"/>
            </w:tcBorders>
          </w:tcPr>
          <w:p w:rsidR="00540C0B" w:rsidRPr="00B12A32" w:rsidRDefault="00540C0B" w:rsidP="00AE1B03">
            <w:pPr>
              <w:pStyle w:val="TableParagraph"/>
              <w:spacing w:before="1"/>
              <w:ind w:left="38"/>
              <w:rPr>
                <w:rFonts w:ascii="Times New Roman" w:eastAsia="Arial" w:hAnsi="Times New Roman" w:cs="Times New Roman"/>
                <w:sz w:val="11"/>
                <w:szCs w:val="11"/>
              </w:rPr>
            </w:pPr>
            <w:r w:rsidRPr="00B12A32">
              <w:rPr>
                <w:rFonts w:ascii="Times New Roman" w:hAnsi="Times New Roman" w:cs="Times New Roman"/>
                <w:w w:val="105"/>
                <w:sz w:val="11"/>
              </w:rPr>
              <w:t>20,06</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0,31</w:t>
            </w: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100,36</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209"/>
        </w:trPr>
        <w:tc>
          <w:tcPr>
            <w:tcW w:w="14200" w:type="dxa"/>
            <w:gridSpan w:val="38"/>
            <w:tcBorders>
              <w:top w:val="nil"/>
              <w:left w:val="single" w:sz="4" w:space="0" w:color="000000"/>
              <w:bottom w:val="nil"/>
              <w:right w:val="single" w:sz="4" w:space="0" w:color="000000"/>
            </w:tcBorders>
          </w:tcPr>
          <w:p w:rsidR="00540C0B" w:rsidRPr="00B12A32" w:rsidRDefault="00540C0B" w:rsidP="00AE1B03">
            <w:pPr>
              <w:pStyle w:val="TableParagraph"/>
              <w:spacing w:before="71"/>
              <w:ind w:left="21"/>
              <w:rPr>
                <w:rFonts w:ascii="Times New Roman" w:eastAsia="Arial" w:hAnsi="Times New Roman" w:cs="Times New Roman"/>
                <w:sz w:val="11"/>
                <w:szCs w:val="11"/>
              </w:rPr>
            </w:pPr>
            <w:r w:rsidRPr="00B12A32">
              <w:rPr>
                <w:rFonts w:ascii="Times New Roman" w:hAnsi="Times New Roman" w:cs="Times New Roman"/>
                <w:b/>
                <w:w w:val="105"/>
                <w:sz w:val="11"/>
              </w:rPr>
              <w:t>Miocene</w:t>
            </w: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early</w:t>
            </w: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sz w:val="11"/>
              </w:rPr>
              <w:t>North</w:t>
            </w:r>
            <w:r w:rsidRPr="00B12A32">
              <w:rPr>
                <w:rFonts w:ascii="Times New Roman" w:hAnsi="Times New Roman" w:cs="Times New Roman"/>
                <w:spacing w:val="15"/>
                <w:sz w:val="11"/>
              </w:rPr>
              <w:t xml:space="preserve"> </w:t>
            </w:r>
            <w:r w:rsidRPr="00B12A32">
              <w:rPr>
                <w:rFonts w:ascii="Times New Roman" w:hAnsi="Times New Roman" w:cs="Times New Roman"/>
                <w:sz w:val="11"/>
              </w:rPr>
              <w:t>Apennines</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Miocene</w:t>
            </w:r>
          </w:p>
        </w:tc>
        <w:tc>
          <w:tcPr>
            <w:tcW w:w="905" w:type="dxa"/>
            <w:tcBorders>
              <w:top w:val="nil"/>
              <w:left w:val="nil"/>
              <w:bottom w:val="nil"/>
              <w:right w:val="nil"/>
            </w:tcBorders>
          </w:tcPr>
          <w:p w:rsidR="00540C0B" w:rsidRPr="00B12A32" w:rsidRDefault="00540C0B" w:rsidP="00AE1B03">
            <w:pPr>
              <w:pStyle w:val="TableParagraph"/>
              <w:spacing w:before="1"/>
              <w:ind w:left="217"/>
              <w:rPr>
                <w:rFonts w:ascii="Times New Roman" w:eastAsia="Arial" w:hAnsi="Times New Roman" w:cs="Times New Roman"/>
                <w:sz w:val="11"/>
                <w:szCs w:val="11"/>
              </w:rPr>
            </w:pPr>
            <w:r w:rsidRPr="00B12A32">
              <w:rPr>
                <w:rFonts w:ascii="Times New Roman" w:hAnsi="Times New Roman" w:cs="Times New Roman"/>
                <w:w w:val="105"/>
                <w:sz w:val="11"/>
              </w:rPr>
              <w:t>Contignaco</w:t>
            </w:r>
          </w:p>
        </w:tc>
        <w:tc>
          <w:tcPr>
            <w:tcW w:w="330" w:type="dxa"/>
            <w:tcBorders>
              <w:top w:val="nil"/>
              <w:left w:val="nil"/>
              <w:bottom w:val="nil"/>
              <w:right w:val="nil"/>
            </w:tcBorders>
          </w:tcPr>
          <w:p w:rsidR="00540C0B" w:rsidRPr="00B12A32" w:rsidRDefault="00540C0B" w:rsidP="00AE1B03">
            <w:pPr>
              <w:pStyle w:val="TableParagraph"/>
              <w:spacing w:before="1"/>
              <w:ind w:left="80"/>
              <w:rPr>
                <w:rFonts w:ascii="Times New Roman" w:eastAsia="Arial" w:hAnsi="Times New Roman" w:cs="Times New Roman"/>
                <w:sz w:val="11"/>
                <w:szCs w:val="11"/>
              </w:rPr>
            </w:pPr>
            <w:r w:rsidRPr="00B12A32">
              <w:rPr>
                <w:rFonts w:ascii="Times New Roman" w:hAnsi="Times New Roman" w:cs="Times New Roman"/>
                <w:w w:val="105"/>
                <w:sz w:val="11"/>
              </w:rPr>
              <w:t>26</w:t>
            </w:r>
          </w:p>
        </w:tc>
        <w:tc>
          <w:tcPr>
            <w:tcW w:w="393" w:type="dxa"/>
            <w:tcBorders>
              <w:top w:val="nil"/>
              <w:left w:val="nil"/>
              <w:bottom w:val="nil"/>
              <w:right w:val="nil"/>
            </w:tcBorders>
          </w:tcPr>
          <w:p w:rsidR="00540C0B" w:rsidRPr="00B12A32" w:rsidRDefault="00540C0B" w:rsidP="00AE1B03">
            <w:pPr>
              <w:pStyle w:val="TableParagraph"/>
              <w:spacing w:before="1"/>
              <w:ind w:left="25"/>
              <w:jc w:val="center"/>
              <w:rPr>
                <w:rFonts w:ascii="Times New Roman" w:eastAsia="Arial" w:hAnsi="Times New Roman" w:cs="Times New Roman"/>
                <w:sz w:val="11"/>
                <w:szCs w:val="11"/>
              </w:rPr>
            </w:pPr>
            <w:r w:rsidRPr="00B12A32">
              <w:rPr>
                <w:rFonts w:ascii="Times New Roman" w:hAnsi="Times New Roman" w:cs="Times New Roman"/>
                <w:w w:val="102"/>
                <w:sz w:val="11"/>
              </w:rPr>
              <w:t>6</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rhyodacite-</w:t>
            </w:r>
          </w:p>
        </w:tc>
        <w:tc>
          <w:tcPr>
            <w:tcW w:w="524" w:type="dxa"/>
            <w:tcBorders>
              <w:top w:val="nil"/>
              <w:left w:val="nil"/>
              <w:bottom w:val="nil"/>
              <w:right w:val="nil"/>
            </w:tcBorders>
          </w:tcPr>
          <w:p w:rsidR="00540C0B" w:rsidRPr="00B12A32" w:rsidRDefault="00540C0B" w:rsidP="00AE1B03">
            <w:pPr>
              <w:pStyle w:val="TableParagraph"/>
              <w:spacing w:before="1"/>
              <w:ind w:left="42"/>
              <w:rPr>
                <w:rFonts w:ascii="Times New Roman" w:eastAsia="Arial" w:hAnsi="Times New Roman" w:cs="Times New Roman"/>
                <w:sz w:val="11"/>
                <w:szCs w:val="11"/>
              </w:rPr>
            </w:pPr>
            <w:r w:rsidRPr="00B12A32">
              <w:rPr>
                <w:rFonts w:ascii="Times New Roman" w:hAnsi="Times New Roman" w:cs="Times New Roman"/>
                <w:w w:val="105"/>
                <w:sz w:val="11"/>
              </w:rPr>
              <w:t>volcano-</w:t>
            </w:r>
          </w:p>
        </w:tc>
        <w:tc>
          <w:tcPr>
            <w:tcW w:w="424" w:type="dxa"/>
            <w:tcBorders>
              <w:top w:val="nil"/>
              <w:left w:val="nil"/>
              <w:bottom w:val="nil"/>
              <w:right w:val="nil"/>
            </w:tcBorders>
          </w:tcPr>
          <w:p w:rsidR="00540C0B" w:rsidRPr="00B12A32" w:rsidRDefault="00540C0B" w:rsidP="00AE1B03">
            <w:pPr>
              <w:pStyle w:val="TableParagraph"/>
              <w:spacing w:before="1"/>
              <w:ind w:left="5"/>
              <w:jc w:val="center"/>
              <w:rPr>
                <w:rFonts w:ascii="Times New Roman" w:eastAsia="Arial" w:hAnsi="Times New Roman" w:cs="Times New Roman"/>
                <w:sz w:val="11"/>
                <w:szCs w:val="11"/>
              </w:rPr>
            </w:pPr>
            <w:r w:rsidRPr="00B12A32">
              <w:rPr>
                <w:rFonts w:ascii="Times New Roman" w:hAnsi="Times New Roman" w:cs="Times New Roman"/>
                <w:w w:val="102"/>
                <w:sz w:val="11"/>
              </w:rPr>
              <w:t>1</w:t>
            </w:r>
          </w:p>
        </w:tc>
        <w:tc>
          <w:tcPr>
            <w:tcW w:w="356" w:type="dxa"/>
            <w:tcBorders>
              <w:top w:val="nil"/>
              <w:left w:val="nil"/>
              <w:bottom w:val="nil"/>
              <w:right w:val="nil"/>
            </w:tcBorders>
          </w:tcPr>
          <w:p w:rsidR="00540C0B" w:rsidRPr="00B12A32" w:rsidRDefault="00540C0B" w:rsidP="00AE1B03">
            <w:pPr>
              <w:pStyle w:val="TableParagraph"/>
              <w:spacing w:before="1"/>
              <w:ind w:left="105"/>
              <w:rPr>
                <w:rFonts w:ascii="Times New Roman" w:eastAsia="Arial" w:hAnsi="Times New Roman" w:cs="Times New Roman"/>
                <w:sz w:val="11"/>
                <w:szCs w:val="11"/>
              </w:rPr>
            </w:pPr>
            <w:r w:rsidRPr="00B12A32">
              <w:rPr>
                <w:rFonts w:ascii="Times New Roman" w:hAnsi="Times New Roman" w:cs="Times New Roman"/>
                <w:w w:val="105"/>
                <w:sz w:val="11"/>
              </w:rPr>
              <w:t>CA</w:t>
            </w: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glass</w:t>
            </w:r>
            <w:r w:rsidRPr="00B12A32">
              <w:rPr>
                <w:rFonts w:ascii="Times New Roman" w:hAnsi="Times New Roman" w:cs="Times New Roman"/>
                <w:spacing w:val="-13"/>
                <w:w w:val="105"/>
                <w:sz w:val="11"/>
              </w:rPr>
              <w:t xml:space="preserve"> </w:t>
            </w:r>
            <w:r w:rsidRPr="00B12A32">
              <w:rPr>
                <w:rFonts w:ascii="Times New Roman" w:hAnsi="Times New Roman" w:cs="Times New Roman"/>
                <w:w w:val="105"/>
                <w:sz w:val="11"/>
              </w:rPr>
              <w:t>sh.</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70,60</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0,08</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11,67</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1,74</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0,55</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0,06</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0,25</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1,02</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4,50</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3,20</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6,80</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100,47</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93"/>
              <w:rPr>
                <w:rFonts w:ascii="Times New Roman" w:eastAsia="Arial" w:hAnsi="Times New Roman" w:cs="Times New Roman"/>
                <w:sz w:val="11"/>
                <w:szCs w:val="11"/>
              </w:rPr>
            </w:pPr>
            <w:r w:rsidRPr="00B12A32">
              <w:rPr>
                <w:rFonts w:ascii="Times New Roman" w:hAnsi="Times New Roman" w:cs="Times New Roman"/>
                <w:w w:val="105"/>
                <w:sz w:val="11"/>
              </w:rPr>
              <w:t>Mongardino</w:t>
            </w:r>
          </w:p>
        </w:tc>
        <w:tc>
          <w:tcPr>
            <w:tcW w:w="330" w:type="dxa"/>
            <w:tcBorders>
              <w:top w:val="nil"/>
              <w:left w:val="nil"/>
              <w:bottom w:val="nil"/>
              <w:right w:val="nil"/>
            </w:tcBorders>
          </w:tcPr>
          <w:p w:rsidR="00540C0B" w:rsidRPr="00B12A32" w:rsidRDefault="00540C0B" w:rsidP="00AE1B03">
            <w:pPr>
              <w:pStyle w:val="TableParagraph"/>
              <w:spacing w:before="1"/>
              <w:ind w:left="80"/>
              <w:rPr>
                <w:rFonts w:ascii="Times New Roman" w:eastAsia="Arial" w:hAnsi="Times New Roman" w:cs="Times New Roman"/>
                <w:sz w:val="11"/>
                <w:szCs w:val="11"/>
              </w:rPr>
            </w:pPr>
            <w:r w:rsidRPr="00B12A32">
              <w:rPr>
                <w:rFonts w:ascii="Times New Roman" w:hAnsi="Times New Roman" w:cs="Times New Roman"/>
                <w:w w:val="105"/>
                <w:sz w:val="11"/>
              </w:rPr>
              <w:t>25</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rhyolite</w:t>
            </w:r>
          </w:p>
        </w:tc>
        <w:tc>
          <w:tcPr>
            <w:tcW w:w="524" w:type="dxa"/>
            <w:tcBorders>
              <w:top w:val="nil"/>
              <w:left w:val="nil"/>
              <w:bottom w:val="nil"/>
              <w:right w:val="nil"/>
            </w:tcBorders>
          </w:tcPr>
          <w:p w:rsidR="00540C0B" w:rsidRPr="00B12A32" w:rsidRDefault="00540C0B" w:rsidP="00AE1B03">
            <w:pPr>
              <w:pStyle w:val="TableParagraph"/>
              <w:spacing w:before="1"/>
              <w:ind w:left="99"/>
              <w:rPr>
                <w:rFonts w:ascii="Times New Roman" w:eastAsia="Arial" w:hAnsi="Times New Roman" w:cs="Times New Roman"/>
                <w:sz w:val="11"/>
                <w:szCs w:val="11"/>
              </w:rPr>
            </w:pPr>
            <w:r w:rsidRPr="00B12A32">
              <w:rPr>
                <w:rFonts w:ascii="Times New Roman" w:hAnsi="Times New Roman" w:cs="Times New Roman"/>
                <w:w w:val="105"/>
                <w:sz w:val="11"/>
              </w:rPr>
              <w:t>clastic</w:t>
            </w:r>
          </w:p>
        </w:tc>
        <w:tc>
          <w:tcPr>
            <w:tcW w:w="424" w:type="dxa"/>
            <w:tcBorders>
              <w:top w:val="nil"/>
              <w:left w:val="nil"/>
              <w:bottom w:val="nil"/>
              <w:right w:val="nil"/>
            </w:tcBorders>
          </w:tcPr>
          <w:p w:rsidR="00540C0B" w:rsidRPr="00B12A32" w:rsidRDefault="00540C0B" w:rsidP="00AE1B03">
            <w:pPr>
              <w:pStyle w:val="TableParagraph"/>
              <w:spacing w:before="1"/>
              <w:ind w:left="5"/>
              <w:jc w:val="center"/>
              <w:rPr>
                <w:rFonts w:ascii="Times New Roman" w:eastAsia="Arial" w:hAnsi="Times New Roman" w:cs="Times New Roman"/>
                <w:sz w:val="11"/>
                <w:szCs w:val="11"/>
              </w:rPr>
            </w:pPr>
            <w:r w:rsidRPr="00B12A32">
              <w:rPr>
                <w:rFonts w:ascii="Times New Roman" w:hAnsi="Times New Roman" w:cs="Times New Roman"/>
                <w:w w:val="102"/>
                <w:sz w:val="11"/>
              </w:rPr>
              <w:t>5</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glass</w:t>
            </w:r>
            <w:r w:rsidRPr="00B12A32">
              <w:rPr>
                <w:rFonts w:ascii="Times New Roman" w:hAnsi="Times New Roman" w:cs="Times New Roman"/>
                <w:spacing w:val="-13"/>
                <w:w w:val="105"/>
                <w:sz w:val="11"/>
              </w:rPr>
              <w:t xml:space="preserve"> </w:t>
            </w:r>
            <w:r w:rsidRPr="00B12A32">
              <w:rPr>
                <w:rFonts w:ascii="Times New Roman" w:hAnsi="Times New Roman" w:cs="Times New Roman"/>
                <w:w w:val="105"/>
                <w:sz w:val="11"/>
              </w:rPr>
              <w:t>sh.</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57,87</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0,89</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14,82</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2,97</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4,28</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0,14</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1,34</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3,82</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2,60</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3,51</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7,69</w:t>
            </w:r>
          </w:p>
        </w:tc>
        <w:tc>
          <w:tcPr>
            <w:tcW w:w="424" w:type="dxa"/>
            <w:tcBorders>
              <w:top w:val="nil"/>
              <w:left w:val="nil"/>
              <w:bottom w:val="nil"/>
              <w:right w:val="nil"/>
            </w:tcBorders>
          </w:tcPr>
          <w:p w:rsidR="00540C0B" w:rsidRPr="00B12A32" w:rsidRDefault="00540C0B" w:rsidP="00AE1B03">
            <w:pPr>
              <w:pStyle w:val="TableParagraph"/>
              <w:spacing w:before="1"/>
              <w:ind w:left="75"/>
              <w:rPr>
                <w:rFonts w:ascii="Times New Roman" w:eastAsia="Arial" w:hAnsi="Times New Roman" w:cs="Times New Roman"/>
                <w:sz w:val="11"/>
                <w:szCs w:val="11"/>
              </w:rPr>
            </w:pPr>
            <w:r w:rsidRPr="00B12A32">
              <w:rPr>
                <w:rFonts w:ascii="Times New Roman" w:hAnsi="Times New Roman" w:cs="Times New Roman"/>
                <w:w w:val="105"/>
                <w:sz w:val="11"/>
              </w:rPr>
              <w:t>99,83</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5"/>
              <w:jc w:val="center"/>
              <w:rPr>
                <w:rFonts w:ascii="Times New Roman" w:eastAsia="Arial" w:hAnsi="Times New Roman" w:cs="Times New Roman"/>
                <w:sz w:val="11"/>
                <w:szCs w:val="11"/>
              </w:rPr>
            </w:pPr>
            <w:r w:rsidRPr="00B12A32">
              <w:rPr>
                <w:rFonts w:ascii="Times New Roman" w:hAnsi="Times New Roman" w:cs="Times New Roman"/>
                <w:w w:val="102"/>
                <w:sz w:val="11"/>
              </w:rPr>
              <w:t>5</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left="11"/>
              <w:rPr>
                <w:rFonts w:ascii="Times New Roman" w:eastAsia="Arial" w:hAnsi="Times New Roman" w:cs="Times New Roman"/>
                <w:sz w:val="11"/>
                <w:szCs w:val="11"/>
              </w:rPr>
            </w:pPr>
            <w:r w:rsidRPr="00B12A32">
              <w:rPr>
                <w:rFonts w:ascii="Times New Roman" w:hAnsi="Times New Roman" w:cs="Times New Roman"/>
                <w:w w:val="105"/>
                <w:sz w:val="11"/>
              </w:rPr>
              <w:t>wh.</w:t>
            </w:r>
            <w:r w:rsidRPr="00B12A32">
              <w:rPr>
                <w:rFonts w:ascii="Times New Roman" w:hAnsi="Times New Roman" w:cs="Times New Roman"/>
                <w:spacing w:val="-14"/>
                <w:w w:val="105"/>
                <w:sz w:val="11"/>
              </w:rPr>
              <w:t xml:space="preserve"> </w:t>
            </w:r>
            <w:r w:rsidRPr="00B12A32">
              <w:rPr>
                <w:rFonts w:ascii="Times New Roman" w:hAnsi="Times New Roman" w:cs="Times New Roman"/>
                <w:w w:val="105"/>
                <w:sz w:val="11"/>
              </w:rPr>
              <w:t>rock</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58,80</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0,99</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14,19</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3,96</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2,83</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0,15</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1,71</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3,75</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2,44</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3,04</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8,64</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100,53</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306"/>
              <w:rPr>
                <w:rFonts w:ascii="Times New Roman" w:eastAsia="Arial" w:hAnsi="Times New Roman" w:cs="Times New Roman"/>
                <w:sz w:val="11"/>
                <w:szCs w:val="11"/>
              </w:rPr>
            </w:pPr>
            <w:r w:rsidRPr="00B12A32">
              <w:rPr>
                <w:rFonts w:ascii="Times New Roman" w:hAnsi="Times New Roman" w:cs="Times New Roman"/>
                <w:w w:val="105"/>
                <w:sz w:val="11"/>
              </w:rPr>
              <w:t>Calderino</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5"/>
              <w:jc w:val="center"/>
              <w:rPr>
                <w:rFonts w:ascii="Times New Roman" w:eastAsia="Arial" w:hAnsi="Times New Roman" w:cs="Times New Roman"/>
                <w:sz w:val="11"/>
                <w:szCs w:val="11"/>
              </w:rPr>
            </w:pPr>
            <w:r w:rsidRPr="00B12A32">
              <w:rPr>
                <w:rFonts w:ascii="Times New Roman" w:hAnsi="Times New Roman" w:cs="Times New Roman"/>
                <w:w w:val="102"/>
                <w:sz w:val="11"/>
              </w:rPr>
              <w:t>4</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glass</w:t>
            </w:r>
            <w:r w:rsidRPr="00B12A32">
              <w:rPr>
                <w:rFonts w:ascii="Times New Roman" w:hAnsi="Times New Roman" w:cs="Times New Roman"/>
                <w:spacing w:val="-13"/>
                <w:w w:val="105"/>
                <w:sz w:val="11"/>
              </w:rPr>
              <w:t xml:space="preserve"> </w:t>
            </w:r>
            <w:r w:rsidRPr="00B12A32">
              <w:rPr>
                <w:rFonts w:ascii="Times New Roman" w:hAnsi="Times New Roman" w:cs="Times New Roman"/>
                <w:w w:val="105"/>
                <w:sz w:val="11"/>
              </w:rPr>
              <w:t>sh.</w:t>
            </w: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65,1</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0,48</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14,2</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1,69</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1,31</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0,09</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0,80</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2,12</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3,23</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2,87</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8,17</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100,08</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5"/>
              <w:jc w:val="center"/>
              <w:rPr>
                <w:rFonts w:ascii="Times New Roman" w:eastAsia="Arial" w:hAnsi="Times New Roman" w:cs="Times New Roman"/>
                <w:sz w:val="11"/>
                <w:szCs w:val="11"/>
              </w:rPr>
            </w:pPr>
            <w:r w:rsidRPr="00B12A32">
              <w:rPr>
                <w:rFonts w:ascii="Times New Roman" w:hAnsi="Times New Roman" w:cs="Times New Roman"/>
                <w:w w:val="102"/>
                <w:sz w:val="11"/>
              </w:rPr>
              <w:t>4</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left="11"/>
              <w:rPr>
                <w:rFonts w:ascii="Times New Roman" w:eastAsia="Arial" w:hAnsi="Times New Roman" w:cs="Times New Roman"/>
                <w:sz w:val="11"/>
                <w:szCs w:val="11"/>
              </w:rPr>
            </w:pPr>
            <w:r w:rsidRPr="00B12A32">
              <w:rPr>
                <w:rFonts w:ascii="Times New Roman" w:hAnsi="Times New Roman" w:cs="Times New Roman"/>
                <w:w w:val="105"/>
                <w:sz w:val="11"/>
              </w:rPr>
              <w:t>wh.</w:t>
            </w:r>
            <w:r w:rsidRPr="00B12A32">
              <w:rPr>
                <w:rFonts w:ascii="Times New Roman" w:hAnsi="Times New Roman" w:cs="Times New Roman"/>
                <w:spacing w:val="-14"/>
                <w:w w:val="105"/>
                <w:sz w:val="11"/>
              </w:rPr>
              <w:t xml:space="preserve"> </w:t>
            </w:r>
            <w:r w:rsidRPr="00B12A32">
              <w:rPr>
                <w:rFonts w:ascii="Times New Roman" w:hAnsi="Times New Roman" w:cs="Times New Roman"/>
                <w:w w:val="105"/>
                <w:sz w:val="11"/>
              </w:rPr>
              <w:t>rock</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60,7</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0,56</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13,1</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3,15</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0,98</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0,04</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1,66</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3,30</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2,20</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1,96</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pStyle w:val="TableParagraph"/>
              <w:spacing w:before="1"/>
              <w:ind w:left="23"/>
              <w:rPr>
                <w:rFonts w:ascii="Times New Roman" w:eastAsia="Arial" w:hAnsi="Times New Roman" w:cs="Times New Roman"/>
                <w:sz w:val="11"/>
                <w:szCs w:val="11"/>
              </w:rPr>
            </w:pPr>
            <w:r w:rsidRPr="00B12A32">
              <w:rPr>
                <w:rFonts w:ascii="Times New Roman" w:hAnsi="Times New Roman" w:cs="Times New Roman"/>
                <w:w w:val="105"/>
                <w:sz w:val="11"/>
              </w:rPr>
              <w:t>12,85</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100,46</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sz w:val="11"/>
              </w:rPr>
              <w:t>Burdigalian</w:t>
            </w:r>
          </w:p>
        </w:tc>
        <w:tc>
          <w:tcPr>
            <w:tcW w:w="905" w:type="dxa"/>
            <w:tcBorders>
              <w:top w:val="nil"/>
              <w:left w:val="nil"/>
              <w:bottom w:val="nil"/>
              <w:right w:val="nil"/>
            </w:tcBorders>
          </w:tcPr>
          <w:p w:rsidR="00540C0B" w:rsidRPr="00B12A32" w:rsidRDefault="00540C0B" w:rsidP="00AE1B03">
            <w:pPr>
              <w:pStyle w:val="TableParagraph"/>
              <w:spacing w:before="1"/>
              <w:ind w:left="33" w:right="-27"/>
              <w:rPr>
                <w:rFonts w:ascii="Times New Roman" w:eastAsia="Arial" w:hAnsi="Times New Roman" w:cs="Times New Roman"/>
                <w:sz w:val="11"/>
                <w:szCs w:val="11"/>
              </w:rPr>
            </w:pPr>
            <w:r w:rsidRPr="00B12A32">
              <w:rPr>
                <w:rFonts w:ascii="Times New Roman" w:hAnsi="Times New Roman" w:cs="Times New Roman"/>
                <w:sz w:val="11"/>
              </w:rPr>
              <w:t>Bisciaro</w:t>
            </w:r>
            <w:r w:rsidRPr="00B12A32">
              <w:rPr>
                <w:rFonts w:ascii="Times New Roman" w:hAnsi="Times New Roman" w:cs="Times New Roman"/>
                <w:spacing w:val="14"/>
                <w:sz w:val="11"/>
              </w:rPr>
              <w:t xml:space="preserve"> </w:t>
            </w:r>
            <w:r w:rsidRPr="00B12A32">
              <w:rPr>
                <w:rFonts w:ascii="Times New Roman" w:hAnsi="Times New Roman" w:cs="Times New Roman"/>
                <w:sz w:val="11"/>
              </w:rPr>
              <w:t>formation</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40"/>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(22.3) -</w:t>
            </w:r>
            <w:r w:rsidRPr="00B12A32">
              <w:rPr>
                <w:rFonts w:ascii="Times New Roman" w:hAnsi="Times New Roman" w:cs="Times New Roman"/>
                <w:spacing w:val="-15"/>
                <w:w w:val="105"/>
                <w:sz w:val="11"/>
              </w:rPr>
              <w:t xml:space="preserve"> </w:t>
            </w:r>
            <w:r w:rsidRPr="00B12A32">
              <w:rPr>
                <w:rFonts w:ascii="Times New Roman" w:hAnsi="Times New Roman" w:cs="Times New Roman"/>
                <w:w w:val="105"/>
                <w:sz w:val="11"/>
              </w:rPr>
              <w:t>17</w:t>
            </w: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sz w:val="11"/>
              </w:rPr>
              <w:t>Montebello,</w:t>
            </w:r>
            <w:r w:rsidRPr="00B12A32">
              <w:rPr>
                <w:rFonts w:ascii="Times New Roman" w:hAnsi="Times New Roman" w:cs="Times New Roman"/>
                <w:spacing w:val="13"/>
                <w:sz w:val="11"/>
              </w:rPr>
              <w:t xml:space="preserve"> </w:t>
            </w:r>
            <w:r w:rsidRPr="00B12A32">
              <w:rPr>
                <w:rFonts w:ascii="Times New Roman" w:hAnsi="Times New Roman" w:cs="Times New Roman"/>
                <w:sz w:val="11"/>
              </w:rPr>
              <w:t>Urb</w:t>
            </w:r>
          </w:p>
        </w:tc>
        <w:tc>
          <w:tcPr>
            <w:tcW w:w="330" w:type="dxa"/>
            <w:tcBorders>
              <w:top w:val="nil"/>
              <w:left w:val="nil"/>
              <w:bottom w:val="nil"/>
              <w:right w:val="nil"/>
            </w:tcBorders>
          </w:tcPr>
          <w:p w:rsidR="00540C0B" w:rsidRPr="00B12A32" w:rsidRDefault="00540C0B" w:rsidP="00AE1B03">
            <w:pPr>
              <w:pStyle w:val="TableParagraph"/>
              <w:spacing w:before="1"/>
              <w:ind w:left="80"/>
              <w:rPr>
                <w:rFonts w:ascii="Times New Roman" w:eastAsia="Arial" w:hAnsi="Times New Roman" w:cs="Times New Roman"/>
                <w:sz w:val="11"/>
                <w:szCs w:val="11"/>
              </w:rPr>
            </w:pPr>
            <w:r w:rsidRPr="00B12A32">
              <w:rPr>
                <w:rFonts w:ascii="Times New Roman" w:hAnsi="Times New Roman" w:cs="Times New Roman"/>
                <w:w w:val="105"/>
                <w:sz w:val="11"/>
              </w:rPr>
              <w:t>27</w:t>
            </w:r>
          </w:p>
        </w:tc>
        <w:tc>
          <w:tcPr>
            <w:tcW w:w="393" w:type="dxa"/>
            <w:tcBorders>
              <w:top w:val="nil"/>
              <w:left w:val="nil"/>
              <w:bottom w:val="nil"/>
              <w:right w:val="nil"/>
            </w:tcBorders>
          </w:tcPr>
          <w:p w:rsidR="00540C0B" w:rsidRPr="00B12A32" w:rsidRDefault="00540C0B" w:rsidP="00AE1B03">
            <w:pPr>
              <w:pStyle w:val="TableParagraph"/>
              <w:spacing w:before="4"/>
              <w:ind w:left="79"/>
              <w:rPr>
                <w:rFonts w:ascii="Times New Roman" w:eastAsia="Arial" w:hAnsi="Times New Roman" w:cs="Times New Roman"/>
                <w:sz w:val="11"/>
                <w:szCs w:val="11"/>
              </w:rPr>
            </w:pPr>
            <w:r w:rsidRPr="00B12A32">
              <w:rPr>
                <w:rFonts w:ascii="Times New Roman" w:hAnsi="Times New Roman" w:cs="Times New Roman"/>
                <w:w w:val="105"/>
                <w:sz w:val="11"/>
              </w:rPr>
              <w:t>8 &amp;</w:t>
            </w:r>
            <w:r w:rsidRPr="00B12A32">
              <w:rPr>
                <w:rFonts w:ascii="Times New Roman" w:hAnsi="Times New Roman" w:cs="Times New Roman"/>
                <w:spacing w:val="-9"/>
                <w:w w:val="105"/>
                <w:sz w:val="11"/>
              </w:rPr>
              <w:t xml:space="preserve"> </w:t>
            </w:r>
            <w:r w:rsidRPr="00B12A32">
              <w:rPr>
                <w:rFonts w:ascii="Times New Roman" w:hAnsi="Times New Roman" w:cs="Times New Roman"/>
                <w:w w:val="105"/>
                <w:sz w:val="11"/>
              </w:rPr>
              <w:t>6</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5"/>
              <w:jc w:val="center"/>
              <w:rPr>
                <w:rFonts w:ascii="Times New Roman" w:eastAsia="Arial" w:hAnsi="Times New Roman" w:cs="Times New Roman"/>
                <w:sz w:val="11"/>
                <w:szCs w:val="11"/>
              </w:rPr>
            </w:pPr>
            <w:r w:rsidRPr="00B12A32">
              <w:rPr>
                <w:rFonts w:ascii="Times New Roman" w:hAnsi="Times New Roman" w:cs="Times New Roman"/>
                <w:w w:val="102"/>
                <w:sz w:val="11"/>
              </w:rPr>
              <w:t>3</w:t>
            </w:r>
          </w:p>
        </w:tc>
        <w:tc>
          <w:tcPr>
            <w:tcW w:w="356" w:type="dxa"/>
            <w:tcBorders>
              <w:top w:val="nil"/>
              <w:left w:val="nil"/>
              <w:bottom w:val="nil"/>
              <w:right w:val="nil"/>
            </w:tcBorders>
          </w:tcPr>
          <w:p w:rsidR="00540C0B" w:rsidRPr="00B12A32" w:rsidRDefault="00540C0B" w:rsidP="00AE1B03">
            <w:pPr>
              <w:pStyle w:val="TableParagraph"/>
              <w:spacing w:before="1"/>
              <w:ind w:left="105"/>
              <w:rPr>
                <w:rFonts w:ascii="Times New Roman" w:eastAsia="Arial" w:hAnsi="Times New Roman" w:cs="Times New Roman"/>
                <w:sz w:val="11"/>
                <w:szCs w:val="11"/>
              </w:rPr>
            </w:pPr>
            <w:r w:rsidRPr="00B12A32">
              <w:rPr>
                <w:rFonts w:ascii="Times New Roman" w:hAnsi="Times New Roman" w:cs="Times New Roman"/>
                <w:w w:val="105"/>
                <w:sz w:val="11"/>
              </w:rPr>
              <w:t>CA</w:t>
            </w: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glass</w:t>
            </w:r>
            <w:r w:rsidRPr="00B12A32">
              <w:rPr>
                <w:rFonts w:ascii="Times New Roman" w:hAnsi="Times New Roman" w:cs="Times New Roman"/>
                <w:spacing w:val="-13"/>
                <w:w w:val="105"/>
                <w:sz w:val="11"/>
              </w:rPr>
              <w:t xml:space="preserve"> </w:t>
            </w:r>
            <w:r w:rsidRPr="00B12A32">
              <w:rPr>
                <w:rFonts w:ascii="Times New Roman" w:hAnsi="Times New Roman" w:cs="Times New Roman"/>
                <w:w w:val="105"/>
                <w:sz w:val="11"/>
              </w:rPr>
              <w:t>sh.</w:t>
            </w: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65,8</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0,58</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13,6</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1,49</w:t>
            </w:r>
          </w:p>
        </w:tc>
        <w:tc>
          <w:tcPr>
            <w:tcW w:w="331"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1,5</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0,09</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0,54</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2,18</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3,78</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2,37</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8,28</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100,23</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8"/>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ind w:left="1"/>
              <w:rPr>
                <w:rFonts w:ascii="Times New Roman" w:eastAsia="Arial" w:hAnsi="Times New Roman" w:cs="Times New Roman"/>
                <w:sz w:val="11"/>
                <w:szCs w:val="11"/>
              </w:rPr>
            </w:pPr>
            <w:r w:rsidRPr="00B12A32">
              <w:rPr>
                <w:rFonts w:ascii="Times New Roman" w:hAnsi="Times New Roman" w:cs="Times New Roman"/>
                <w:w w:val="105"/>
                <w:sz w:val="11"/>
              </w:rPr>
              <w:t>Fossombrone</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ind w:left="25"/>
              <w:jc w:val="center"/>
              <w:rPr>
                <w:rFonts w:ascii="Times New Roman" w:eastAsia="Arial" w:hAnsi="Times New Roman" w:cs="Times New Roman"/>
                <w:sz w:val="11"/>
                <w:szCs w:val="11"/>
              </w:rPr>
            </w:pPr>
            <w:r w:rsidRPr="00B12A32">
              <w:rPr>
                <w:rFonts w:ascii="Times New Roman" w:hAnsi="Times New Roman" w:cs="Times New Roman"/>
                <w:w w:val="102"/>
                <w:sz w:val="11"/>
              </w:rPr>
              <w:t>7</w:t>
            </w:r>
          </w:p>
        </w:tc>
        <w:tc>
          <w:tcPr>
            <w:tcW w:w="691" w:type="dxa"/>
            <w:tcBorders>
              <w:top w:val="nil"/>
              <w:left w:val="nil"/>
              <w:bottom w:val="nil"/>
              <w:right w:val="nil"/>
            </w:tcBorders>
          </w:tcPr>
          <w:p w:rsidR="00540C0B" w:rsidRPr="00B12A32" w:rsidRDefault="00540C0B" w:rsidP="00AE1B03">
            <w:pPr>
              <w:pStyle w:val="TableParagraph"/>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ind w:left="82"/>
              <w:rPr>
                <w:rFonts w:ascii="Times New Roman" w:eastAsia="Arial" w:hAnsi="Times New Roman" w:cs="Times New Roman"/>
                <w:sz w:val="11"/>
                <w:szCs w:val="11"/>
              </w:rPr>
            </w:pPr>
            <w:r w:rsidRPr="00B12A32">
              <w:rPr>
                <w:rFonts w:ascii="Times New Roman" w:hAnsi="Times New Roman" w:cs="Times New Roman"/>
                <w:w w:val="105"/>
                <w:sz w:val="11"/>
              </w:rPr>
              <w:t>B6/1</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ind w:right="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37" w:type="dxa"/>
            <w:tcBorders>
              <w:top w:val="nil"/>
              <w:left w:val="nil"/>
              <w:bottom w:val="nil"/>
              <w:right w:val="nil"/>
            </w:tcBorders>
          </w:tcPr>
          <w:p w:rsidR="00540C0B" w:rsidRPr="00B12A32" w:rsidRDefault="00540C0B" w:rsidP="00AE1B03">
            <w:pPr>
              <w:pStyle w:val="TableParagraph"/>
              <w:ind w:left="58"/>
              <w:rPr>
                <w:rFonts w:ascii="Times New Roman" w:eastAsia="Arial" w:hAnsi="Times New Roman" w:cs="Times New Roman"/>
                <w:sz w:val="11"/>
                <w:szCs w:val="11"/>
              </w:rPr>
            </w:pPr>
            <w:r w:rsidRPr="00B12A32">
              <w:rPr>
                <w:rFonts w:ascii="Times New Roman" w:hAnsi="Times New Roman" w:cs="Times New Roman"/>
                <w:w w:val="105"/>
                <w:sz w:val="11"/>
              </w:rPr>
              <w:t>67,2</w:t>
            </w:r>
          </w:p>
        </w:tc>
        <w:tc>
          <w:tcPr>
            <w:tcW w:w="296" w:type="dxa"/>
            <w:tcBorders>
              <w:top w:val="nil"/>
              <w:left w:val="nil"/>
              <w:bottom w:val="nil"/>
              <w:right w:val="nil"/>
            </w:tcBorders>
          </w:tcPr>
          <w:p w:rsidR="00540C0B" w:rsidRPr="00B12A32" w:rsidRDefault="00540C0B" w:rsidP="00AE1B03">
            <w:pPr>
              <w:pStyle w:val="TableParagraph"/>
              <w:ind w:left="40"/>
              <w:rPr>
                <w:rFonts w:ascii="Times New Roman" w:eastAsia="Arial" w:hAnsi="Times New Roman" w:cs="Times New Roman"/>
                <w:sz w:val="11"/>
                <w:szCs w:val="11"/>
              </w:rPr>
            </w:pPr>
            <w:r w:rsidRPr="00B12A32">
              <w:rPr>
                <w:rFonts w:ascii="Times New Roman" w:hAnsi="Times New Roman" w:cs="Times New Roman"/>
                <w:w w:val="105"/>
                <w:sz w:val="11"/>
              </w:rPr>
              <w:t>0,28</w:t>
            </w:r>
          </w:p>
        </w:tc>
        <w:tc>
          <w:tcPr>
            <w:tcW w:w="353" w:type="dxa"/>
            <w:tcBorders>
              <w:top w:val="nil"/>
              <w:left w:val="nil"/>
              <w:bottom w:val="nil"/>
              <w:right w:val="nil"/>
            </w:tcBorders>
          </w:tcPr>
          <w:p w:rsidR="00540C0B" w:rsidRPr="00B12A32" w:rsidRDefault="00540C0B" w:rsidP="00AE1B03">
            <w:pPr>
              <w:pStyle w:val="TableParagraph"/>
              <w:ind w:left="117"/>
              <w:rPr>
                <w:rFonts w:ascii="Times New Roman" w:eastAsia="Arial" w:hAnsi="Times New Roman" w:cs="Times New Roman"/>
                <w:sz w:val="11"/>
                <w:szCs w:val="11"/>
              </w:rPr>
            </w:pPr>
            <w:r w:rsidRPr="00B12A32">
              <w:rPr>
                <w:rFonts w:ascii="Times New Roman" w:hAnsi="Times New Roman" w:cs="Times New Roman"/>
                <w:w w:val="105"/>
                <w:sz w:val="11"/>
              </w:rPr>
              <w:t>14</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ind w:left="53"/>
              <w:rPr>
                <w:rFonts w:ascii="Times New Roman" w:eastAsia="Arial" w:hAnsi="Times New Roman" w:cs="Times New Roman"/>
                <w:sz w:val="11"/>
                <w:szCs w:val="11"/>
              </w:rPr>
            </w:pPr>
            <w:r w:rsidRPr="00B12A32">
              <w:rPr>
                <w:rFonts w:ascii="Times New Roman" w:hAnsi="Times New Roman" w:cs="Times New Roman"/>
                <w:w w:val="105"/>
                <w:sz w:val="11"/>
              </w:rPr>
              <w:t>2,55</w:t>
            </w:r>
          </w:p>
        </w:tc>
        <w:tc>
          <w:tcPr>
            <w:tcW w:w="302" w:type="dxa"/>
            <w:tcBorders>
              <w:top w:val="nil"/>
              <w:left w:val="nil"/>
              <w:bottom w:val="nil"/>
              <w:right w:val="nil"/>
            </w:tcBorders>
          </w:tcPr>
          <w:p w:rsidR="00540C0B" w:rsidRPr="00B12A32" w:rsidRDefault="00540C0B" w:rsidP="00AE1B03">
            <w:pPr>
              <w:pStyle w:val="TableParagraph"/>
              <w:ind w:left="39"/>
              <w:rPr>
                <w:rFonts w:ascii="Times New Roman" w:eastAsia="Arial" w:hAnsi="Times New Roman" w:cs="Times New Roman"/>
                <w:sz w:val="11"/>
                <w:szCs w:val="11"/>
              </w:rPr>
            </w:pPr>
            <w:r w:rsidRPr="00B12A32">
              <w:rPr>
                <w:rFonts w:ascii="Times New Roman" w:hAnsi="Times New Roman" w:cs="Times New Roman"/>
                <w:w w:val="105"/>
                <w:sz w:val="11"/>
              </w:rPr>
              <w:t>0,12</w:t>
            </w:r>
          </w:p>
        </w:tc>
        <w:tc>
          <w:tcPr>
            <w:tcW w:w="350" w:type="dxa"/>
            <w:tcBorders>
              <w:top w:val="nil"/>
              <w:left w:val="nil"/>
              <w:bottom w:val="nil"/>
              <w:right w:val="nil"/>
            </w:tcBorders>
          </w:tcPr>
          <w:p w:rsidR="00540C0B" w:rsidRPr="00B12A32" w:rsidRDefault="00540C0B" w:rsidP="00AE1B03">
            <w:pPr>
              <w:pStyle w:val="TableParagraph"/>
              <w:ind w:left="61"/>
              <w:rPr>
                <w:rFonts w:ascii="Times New Roman" w:eastAsia="Arial" w:hAnsi="Times New Roman" w:cs="Times New Roman"/>
                <w:sz w:val="11"/>
                <w:szCs w:val="11"/>
              </w:rPr>
            </w:pPr>
            <w:r w:rsidRPr="00B12A32">
              <w:rPr>
                <w:rFonts w:ascii="Times New Roman" w:hAnsi="Times New Roman" w:cs="Times New Roman"/>
                <w:w w:val="105"/>
                <w:sz w:val="11"/>
              </w:rPr>
              <w:t>0,25</w:t>
            </w:r>
          </w:p>
        </w:tc>
        <w:tc>
          <w:tcPr>
            <w:tcW w:w="341" w:type="dxa"/>
            <w:tcBorders>
              <w:top w:val="nil"/>
              <w:left w:val="nil"/>
              <w:bottom w:val="nil"/>
              <w:right w:val="nil"/>
            </w:tcBorders>
          </w:tcPr>
          <w:p w:rsidR="00540C0B" w:rsidRPr="00B12A32" w:rsidRDefault="00540C0B" w:rsidP="00AE1B03">
            <w:pPr>
              <w:pStyle w:val="TableParagraph"/>
              <w:ind w:left="69"/>
              <w:rPr>
                <w:rFonts w:ascii="Times New Roman" w:eastAsia="Arial" w:hAnsi="Times New Roman" w:cs="Times New Roman"/>
                <w:sz w:val="11"/>
                <w:szCs w:val="11"/>
              </w:rPr>
            </w:pPr>
            <w:r w:rsidRPr="00B12A32">
              <w:rPr>
                <w:rFonts w:ascii="Times New Roman" w:hAnsi="Times New Roman" w:cs="Times New Roman"/>
                <w:w w:val="105"/>
                <w:sz w:val="11"/>
              </w:rPr>
              <w:t>1,26</w:t>
            </w:r>
          </w:p>
        </w:tc>
        <w:tc>
          <w:tcPr>
            <w:tcW w:w="346" w:type="dxa"/>
            <w:tcBorders>
              <w:top w:val="nil"/>
              <w:left w:val="nil"/>
              <w:bottom w:val="nil"/>
              <w:right w:val="nil"/>
            </w:tcBorders>
          </w:tcPr>
          <w:p w:rsidR="00540C0B" w:rsidRPr="00B12A32" w:rsidRDefault="00540C0B" w:rsidP="00AE1B03">
            <w:pPr>
              <w:pStyle w:val="TableParagraph"/>
              <w:ind w:left="60"/>
              <w:rPr>
                <w:rFonts w:ascii="Times New Roman" w:eastAsia="Arial" w:hAnsi="Times New Roman" w:cs="Times New Roman"/>
                <w:sz w:val="11"/>
                <w:szCs w:val="11"/>
              </w:rPr>
            </w:pPr>
            <w:r w:rsidRPr="00B12A32">
              <w:rPr>
                <w:rFonts w:ascii="Times New Roman" w:hAnsi="Times New Roman" w:cs="Times New Roman"/>
                <w:w w:val="105"/>
                <w:sz w:val="11"/>
              </w:rPr>
              <w:t>2,46</w:t>
            </w:r>
          </w:p>
        </w:tc>
        <w:tc>
          <w:tcPr>
            <w:tcW w:w="346" w:type="dxa"/>
            <w:tcBorders>
              <w:top w:val="nil"/>
              <w:left w:val="nil"/>
              <w:bottom w:val="nil"/>
              <w:right w:val="nil"/>
            </w:tcBorders>
          </w:tcPr>
          <w:p w:rsidR="00540C0B" w:rsidRPr="00B12A32" w:rsidRDefault="00540C0B" w:rsidP="00AE1B03">
            <w:pPr>
              <w:pStyle w:val="TableParagraph"/>
              <w:ind w:left="61"/>
              <w:rPr>
                <w:rFonts w:ascii="Times New Roman" w:eastAsia="Arial" w:hAnsi="Times New Roman" w:cs="Times New Roman"/>
                <w:sz w:val="11"/>
                <w:szCs w:val="11"/>
              </w:rPr>
            </w:pPr>
            <w:r w:rsidRPr="00B12A32">
              <w:rPr>
                <w:rFonts w:ascii="Times New Roman" w:hAnsi="Times New Roman" w:cs="Times New Roman"/>
                <w:w w:val="105"/>
                <w:sz w:val="11"/>
              </w:rPr>
              <w:t>4,20</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ind w:left="75"/>
              <w:rPr>
                <w:rFonts w:ascii="Times New Roman" w:eastAsia="Arial" w:hAnsi="Times New Roman" w:cs="Times New Roman"/>
                <w:sz w:val="11"/>
                <w:szCs w:val="11"/>
              </w:rPr>
            </w:pPr>
            <w:r w:rsidRPr="00B12A32">
              <w:rPr>
                <w:rFonts w:ascii="Times New Roman" w:hAnsi="Times New Roman" w:cs="Times New Roman"/>
                <w:w w:val="105"/>
                <w:sz w:val="11"/>
              </w:rPr>
              <w:t>92,26</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99"/>
              <w:rPr>
                <w:rFonts w:ascii="Times New Roman" w:eastAsia="Arial" w:hAnsi="Times New Roman" w:cs="Times New Roman"/>
                <w:sz w:val="11"/>
                <w:szCs w:val="11"/>
              </w:rPr>
            </w:pPr>
            <w:r w:rsidRPr="00B12A32">
              <w:rPr>
                <w:rFonts w:ascii="Times New Roman" w:hAnsi="Times New Roman" w:cs="Times New Roman"/>
                <w:w w:val="105"/>
                <w:sz w:val="11"/>
              </w:rPr>
              <w:t>B8/7</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right="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64,2</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0,51</w:t>
            </w:r>
          </w:p>
        </w:tc>
        <w:tc>
          <w:tcPr>
            <w:tcW w:w="353" w:type="dxa"/>
            <w:tcBorders>
              <w:top w:val="nil"/>
              <w:left w:val="nil"/>
              <w:bottom w:val="nil"/>
              <w:right w:val="nil"/>
            </w:tcBorders>
          </w:tcPr>
          <w:p w:rsidR="00540C0B" w:rsidRPr="00B12A32" w:rsidRDefault="00540C0B" w:rsidP="00AE1B03">
            <w:pPr>
              <w:pStyle w:val="TableParagraph"/>
              <w:spacing w:before="1"/>
              <w:ind w:left="117"/>
              <w:rPr>
                <w:rFonts w:ascii="Times New Roman" w:eastAsia="Arial" w:hAnsi="Times New Roman" w:cs="Times New Roman"/>
                <w:sz w:val="11"/>
                <w:szCs w:val="11"/>
              </w:rPr>
            </w:pPr>
            <w:r w:rsidRPr="00B12A32">
              <w:rPr>
                <w:rFonts w:ascii="Times New Roman" w:hAnsi="Times New Roman" w:cs="Times New Roman"/>
                <w:w w:val="105"/>
                <w:sz w:val="11"/>
              </w:rPr>
              <w:t>14</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3,14</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0,10</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0,59</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3,24</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2,54</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3,61</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75"/>
              <w:rPr>
                <w:rFonts w:ascii="Times New Roman" w:eastAsia="Arial" w:hAnsi="Times New Roman" w:cs="Times New Roman"/>
                <w:sz w:val="11"/>
                <w:szCs w:val="11"/>
              </w:rPr>
            </w:pPr>
            <w:r w:rsidRPr="00B12A32">
              <w:rPr>
                <w:rFonts w:ascii="Times New Roman" w:hAnsi="Times New Roman" w:cs="Times New Roman"/>
                <w:w w:val="105"/>
                <w:sz w:val="11"/>
              </w:rPr>
              <w:t>91,37</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75"/>
              <w:rPr>
                <w:rFonts w:ascii="Times New Roman" w:eastAsia="Arial" w:hAnsi="Times New Roman" w:cs="Times New Roman"/>
                <w:sz w:val="11"/>
                <w:szCs w:val="11"/>
              </w:rPr>
            </w:pPr>
            <w:r w:rsidRPr="00B12A32">
              <w:rPr>
                <w:rFonts w:ascii="Times New Roman" w:hAnsi="Times New Roman" w:cs="Times New Roman"/>
                <w:w w:val="105"/>
                <w:sz w:val="11"/>
              </w:rPr>
              <w:t>B6(2)</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plagioclas</w:t>
            </w: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59,1</w:t>
            </w: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27,7</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0,38</w:t>
            </w: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7,56</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7,64</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0,76</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4"/>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B8(b1)</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right="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50,5</w:t>
            </w: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30,5</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0,67</w:t>
            </w: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pStyle w:val="TableParagraph"/>
              <w:spacing w:before="1"/>
              <w:ind w:left="38"/>
              <w:rPr>
                <w:rFonts w:ascii="Times New Roman" w:eastAsia="Arial" w:hAnsi="Times New Roman" w:cs="Times New Roman"/>
                <w:sz w:val="11"/>
                <w:szCs w:val="11"/>
              </w:rPr>
            </w:pPr>
            <w:r w:rsidRPr="00B12A32">
              <w:rPr>
                <w:rFonts w:ascii="Times New Roman" w:hAnsi="Times New Roman" w:cs="Times New Roman"/>
                <w:w w:val="105"/>
                <w:sz w:val="11"/>
              </w:rPr>
              <w:t>15,69</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2,75</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0,12</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single" w:sz="4" w:space="0" w:color="000000"/>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45"/>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7"/>
              <w:ind w:left="424"/>
              <w:rPr>
                <w:rFonts w:ascii="Times New Roman" w:eastAsia="Arial" w:hAnsi="Times New Roman" w:cs="Times New Roman"/>
                <w:sz w:val="11"/>
                <w:szCs w:val="11"/>
              </w:rPr>
            </w:pPr>
            <w:r w:rsidRPr="00B12A32">
              <w:rPr>
                <w:rFonts w:ascii="Times New Roman" w:hAnsi="Times New Roman" w:cs="Times New Roman"/>
                <w:w w:val="105"/>
                <w:sz w:val="11"/>
              </w:rPr>
              <w:t>Vicchio</w:t>
            </w:r>
          </w:p>
        </w:tc>
        <w:tc>
          <w:tcPr>
            <w:tcW w:w="330" w:type="dxa"/>
            <w:tcBorders>
              <w:top w:val="nil"/>
              <w:left w:val="nil"/>
              <w:bottom w:val="nil"/>
              <w:right w:val="nil"/>
            </w:tcBorders>
          </w:tcPr>
          <w:p w:rsidR="00540C0B" w:rsidRPr="00B12A32" w:rsidRDefault="00540C0B" w:rsidP="00AE1B03">
            <w:pPr>
              <w:pStyle w:val="TableParagraph"/>
              <w:spacing w:before="7"/>
              <w:ind w:left="80"/>
              <w:rPr>
                <w:rFonts w:ascii="Times New Roman" w:eastAsia="Arial" w:hAnsi="Times New Roman" w:cs="Times New Roman"/>
                <w:sz w:val="11"/>
                <w:szCs w:val="11"/>
              </w:rPr>
            </w:pPr>
            <w:r w:rsidRPr="00B12A32">
              <w:rPr>
                <w:rFonts w:ascii="Times New Roman" w:hAnsi="Times New Roman" w:cs="Times New Roman"/>
                <w:w w:val="105"/>
                <w:sz w:val="11"/>
              </w:rPr>
              <w:t>29</w:t>
            </w:r>
          </w:p>
        </w:tc>
        <w:tc>
          <w:tcPr>
            <w:tcW w:w="393" w:type="dxa"/>
            <w:tcBorders>
              <w:top w:val="nil"/>
              <w:left w:val="nil"/>
              <w:bottom w:val="nil"/>
              <w:right w:val="nil"/>
            </w:tcBorders>
          </w:tcPr>
          <w:p w:rsidR="00540C0B" w:rsidRPr="00B12A32" w:rsidRDefault="00540C0B" w:rsidP="00AE1B03">
            <w:pPr>
              <w:pStyle w:val="TableParagraph"/>
              <w:spacing w:before="7"/>
              <w:ind w:left="48"/>
              <w:rPr>
                <w:rFonts w:ascii="Times New Roman" w:eastAsia="Arial" w:hAnsi="Times New Roman" w:cs="Times New Roman"/>
                <w:sz w:val="11"/>
                <w:szCs w:val="11"/>
              </w:rPr>
            </w:pPr>
            <w:r w:rsidRPr="00B12A32">
              <w:rPr>
                <w:rFonts w:ascii="Times New Roman" w:hAnsi="Times New Roman" w:cs="Times New Roman"/>
                <w:w w:val="105"/>
                <w:sz w:val="11"/>
              </w:rPr>
              <w:t>9 &amp;</w:t>
            </w:r>
            <w:r w:rsidRPr="00B12A32">
              <w:rPr>
                <w:rFonts w:ascii="Times New Roman" w:hAnsi="Times New Roman" w:cs="Times New Roman"/>
                <w:spacing w:val="-11"/>
                <w:w w:val="105"/>
                <w:sz w:val="11"/>
              </w:rPr>
              <w:t xml:space="preserve"> </w:t>
            </w:r>
            <w:r w:rsidRPr="00B12A32">
              <w:rPr>
                <w:rFonts w:ascii="Times New Roman" w:hAnsi="Times New Roman" w:cs="Times New Roman"/>
                <w:w w:val="105"/>
                <w:sz w:val="11"/>
              </w:rPr>
              <w:t>10</w:t>
            </w:r>
          </w:p>
        </w:tc>
        <w:tc>
          <w:tcPr>
            <w:tcW w:w="691" w:type="dxa"/>
            <w:tcBorders>
              <w:top w:val="nil"/>
              <w:left w:val="nil"/>
              <w:bottom w:val="nil"/>
              <w:right w:val="nil"/>
            </w:tcBorders>
          </w:tcPr>
          <w:p w:rsidR="00540C0B" w:rsidRPr="00B12A32" w:rsidRDefault="00540C0B" w:rsidP="00AE1B03">
            <w:pPr>
              <w:pStyle w:val="TableParagraph"/>
              <w:spacing w:before="7"/>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7"/>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7"/>
              <w:ind w:left="5"/>
              <w:jc w:val="center"/>
              <w:rPr>
                <w:rFonts w:ascii="Times New Roman" w:eastAsia="Arial" w:hAnsi="Times New Roman" w:cs="Times New Roman"/>
                <w:sz w:val="11"/>
                <w:szCs w:val="11"/>
              </w:rPr>
            </w:pPr>
            <w:r w:rsidRPr="00B12A32">
              <w:rPr>
                <w:rFonts w:ascii="Times New Roman" w:hAnsi="Times New Roman" w:cs="Times New Roman"/>
                <w:w w:val="105"/>
                <w:sz w:val="11"/>
              </w:rPr>
              <w:t>80</w:t>
            </w:r>
          </w:p>
        </w:tc>
        <w:tc>
          <w:tcPr>
            <w:tcW w:w="799" w:type="dxa"/>
            <w:gridSpan w:val="2"/>
            <w:tcBorders>
              <w:top w:val="nil"/>
              <w:left w:val="nil"/>
              <w:bottom w:val="nil"/>
              <w:right w:val="nil"/>
            </w:tcBorders>
          </w:tcPr>
          <w:p w:rsidR="00540C0B" w:rsidRPr="00B12A32" w:rsidRDefault="00540C0B" w:rsidP="00AE1B03">
            <w:pPr>
              <w:pStyle w:val="TableParagraph"/>
              <w:spacing w:before="7"/>
              <w:ind w:left="28"/>
              <w:rPr>
                <w:rFonts w:ascii="Times New Roman" w:eastAsia="Arial" w:hAnsi="Times New Roman" w:cs="Times New Roman"/>
                <w:sz w:val="11"/>
                <w:szCs w:val="11"/>
              </w:rPr>
            </w:pPr>
            <w:r w:rsidRPr="00B12A32">
              <w:rPr>
                <w:rFonts w:ascii="Times New Roman" w:hAnsi="Times New Roman" w:cs="Times New Roman"/>
                <w:w w:val="105"/>
                <w:sz w:val="11"/>
              </w:rPr>
              <w:t>shoshonitic</w:t>
            </w:r>
          </w:p>
        </w:tc>
        <w:tc>
          <w:tcPr>
            <w:tcW w:w="562" w:type="dxa"/>
            <w:tcBorders>
              <w:top w:val="nil"/>
              <w:left w:val="nil"/>
              <w:bottom w:val="nil"/>
              <w:right w:val="nil"/>
            </w:tcBorders>
          </w:tcPr>
          <w:p w:rsidR="00540C0B" w:rsidRPr="00B12A32" w:rsidRDefault="00540C0B" w:rsidP="00AE1B03">
            <w:pPr>
              <w:pStyle w:val="TableParagraph"/>
              <w:spacing w:before="7"/>
              <w:ind w:left="13"/>
              <w:rPr>
                <w:rFonts w:ascii="Times New Roman" w:eastAsia="Arial" w:hAnsi="Times New Roman" w:cs="Times New Roman"/>
                <w:sz w:val="11"/>
                <w:szCs w:val="11"/>
              </w:rPr>
            </w:pPr>
            <w:r w:rsidRPr="00B12A32">
              <w:rPr>
                <w:rFonts w:ascii="Times New Roman" w:hAnsi="Times New Roman" w:cs="Times New Roman"/>
                <w:w w:val="105"/>
                <w:sz w:val="11"/>
              </w:rPr>
              <w:t>glass</w:t>
            </w:r>
            <w:r w:rsidRPr="00B12A32">
              <w:rPr>
                <w:rFonts w:ascii="Times New Roman" w:hAnsi="Times New Roman" w:cs="Times New Roman"/>
                <w:spacing w:val="-13"/>
                <w:w w:val="105"/>
                <w:sz w:val="11"/>
              </w:rPr>
              <w:t xml:space="preserve"> </w:t>
            </w:r>
            <w:r w:rsidRPr="00B12A32">
              <w:rPr>
                <w:rFonts w:ascii="Times New Roman" w:hAnsi="Times New Roman" w:cs="Times New Roman"/>
                <w:w w:val="105"/>
                <w:sz w:val="11"/>
              </w:rPr>
              <w:t>sh.</w:t>
            </w:r>
          </w:p>
        </w:tc>
        <w:tc>
          <w:tcPr>
            <w:tcW w:w="337" w:type="dxa"/>
            <w:tcBorders>
              <w:top w:val="nil"/>
              <w:left w:val="nil"/>
              <w:bottom w:val="nil"/>
              <w:right w:val="nil"/>
            </w:tcBorders>
          </w:tcPr>
          <w:p w:rsidR="00540C0B" w:rsidRPr="00B12A32" w:rsidRDefault="00540C0B" w:rsidP="00AE1B03">
            <w:pPr>
              <w:pStyle w:val="TableParagraph"/>
              <w:spacing w:before="7"/>
              <w:ind w:left="58"/>
              <w:rPr>
                <w:rFonts w:ascii="Times New Roman" w:eastAsia="Arial" w:hAnsi="Times New Roman" w:cs="Times New Roman"/>
                <w:sz w:val="11"/>
                <w:szCs w:val="11"/>
              </w:rPr>
            </w:pPr>
            <w:r w:rsidRPr="00B12A32">
              <w:rPr>
                <w:rFonts w:ascii="Times New Roman" w:hAnsi="Times New Roman" w:cs="Times New Roman"/>
                <w:w w:val="105"/>
                <w:sz w:val="11"/>
              </w:rPr>
              <w:t>70,6</w:t>
            </w:r>
          </w:p>
        </w:tc>
        <w:tc>
          <w:tcPr>
            <w:tcW w:w="296" w:type="dxa"/>
            <w:tcBorders>
              <w:top w:val="nil"/>
              <w:left w:val="nil"/>
              <w:bottom w:val="nil"/>
              <w:right w:val="nil"/>
            </w:tcBorders>
          </w:tcPr>
          <w:p w:rsidR="00540C0B" w:rsidRPr="00B12A32" w:rsidRDefault="00540C0B" w:rsidP="00AE1B03">
            <w:pPr>
              <w:pStyle w:val="TableParagraph"/>
              <w:spacing w:before="7"/>
              <w:ind w:left="40"/>
              <w:rPr>
                <w:rFonts w:ascii="Times New Roman" w:eastAsia="Arial" w:hAnsi="Times New Roman" w:cs="Times New Roman"/>
                <w:sz w:val="11"/>
                <w:szCs w:val="11"/>
              </w:rPr>
            </w:pPr>
            <w:r w:rsidRPr="00B12A32">
              <w:rPr>
                <w:rFonts w:ascii="Times New Roman" w:hAnsi="Times New Roman" w:cs="Times New Roman"/>
                <w:w w:val="105"/>
                <w:sz w:val="11"/>
              </w:rPr>
              <w:t>0,36</w:t>
            </w:r>
          </w:p>
        </w:tc>
        <w:tc>
          <w:tcPr>
            <w:tcW w:w="353" w:type="dxa"/>
            <w:tcBorders>
              <w:top w:val="nil"/>
              <w:left w:val="nil"/>
              <w:bottom w:val="nil"/>
              <w:right w:val="nil"/>
            </w:tcBorders>
          </w:tcPr>
          <w:p w:rsidR="00540C0B" w:rsidRPr="00B12A32" w:rsidRDefault="00540C0B" w:rsidP="00AE1B03">
            <w:pPr>
              <w:pStyle w:val="TableParagraph"/>
              <w:spacing w:before="7"/>
              <w:ind w:left="72"/>
              <w:rPr>
                <w:rFonts w:ascii="Times New Roman" w:eastAsia="Arial" w:hAnsi="Times New Roman" w:cs="Times New Roman"/>
                <w:sz w:val="11"/>
                <w:szCs w:val="11"/>
              </w:rPr>
            </w:pPr>
            <w:r w:rsidRPr="00B12A32">
              <w:rPr>
                <w:rFonts w:ascii="Times New Roman" w:hAnsi="Times New Roman" w:cs="Times New Roman"/>
                <w:w w:val="105"/>
                <w:sz w:val="11"/>
              </w:rPr>
              <w:t>14,9</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7"/>
              <w:ind w:left="53"/>
              <w:rPr>
                <w:rFonts w:ascii="Times New Roman" w:eastAsia="Arial" w:hAnsi="Times New Roman" w:cs="Times New Roman"/>
                <w:sz w:val="11"/>
                <w:szCs w:val="11"/>
              </w:rPr>
            </w:pPr>
            <w:r w:rsidRPr="00B12A32">
              <w:rPr>
                <w:rFonts w:ascii="Times New Roman" w:hAnsi="Times New Roman" w:cs="Times New Roman"/>
                <w:w w:val="105"/>
                <w:sz w:val="11"/>
              </w:rPr>
              <w:t>0,68</w:t>
            </w: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pStyle w:val="TableParagraph"/>
              <w:spacing w:before="7"/>
              <w:ind w:left="61"/>
              <w:rPr>
                <w:rFonts w:ascii="Times New Roman" w:eastAsia="Arial" w:hAnsi="Times New Roman" w:cs="Times New Roman"/>
                <w:sz w:val="11"/>
                <w:szCs w:val="11"/>
              </w:rPr>
            </w:pPr>
            <w:r w:rsidRPr="00B12A32">
              <w:rPr>
                <w:rFonts w:ascii="Times New Roman" w:hAnsi="Times New Roman" w:cs="Times New Roman"/>
                <w:w w:val="105"/>
                <w:sz w:val="11"/>
              </w:rPr>
              <w:t>0,05</w:t>
            </w:r>
          </w:p>
        </w:tc>
        <w:tc>
          <w:tcPr>
            <w:tcW w:w="341" w:type="dxa"/>
            <w:tcBorders>
              <w:top w:val="nil"/>
              <w:left w:val="nil"/>
              <w:bottom w:val="nil"/>
              <w:right w:val="nil"/>
            </w:tcBorders>
          </w:tcPr>
          <w:p w:rsidR="00540C0B" w:rsidRPr="00B12A32" w:rsidRDefault="00540C0B" w:rsidP="00AE1B03">
            <w:pPr>
              <w:pStyle w:val="TableParagraph"/>
              <w:spacing w:before="7"/>
              <w:ind w:left="69"/>
              <w:rPr>
                <w:rFonts w:ascii="Times New Roman" w:eastAsia="Arial" w:hAnsi="Times New Roman" w:cs="Times New Roman"/>
                <w:sz w:val="11"/>
                <w:szCs w:val="11"/>
              </w:rPr>
            </w:pPr>
            <w:r w:rsidRPr="00B12A32">
              <w:rPr>
                <w:rFonts w:ascii="Times New Roman" w:hAnsi="Times New Roman" w:cs="Times New Roman"/>
                <w:w w:val="105"/>
                <w:sz w:val="11"/>
              </w:rPr>
              <w:t>2,47</w:t>
            </w:r>
          </w:p>
        </w:tc>
        <w:tc>
          <w:tcPr>
            <w:tcW w:w="346" w:type="dxa"/>
            <w:tcBorders>
              <w:top w:val="nil"/>
              <w:left w:val="nil"/>
              <w:bottom w:val="nil"/>
              <w:right w:val="nil"/>
            </w:tcBorders>
          </w:tcPr>
          <w:p w:rsidR="00540C0B" w:rsidRPr="00B12A32" w:rsidRDefault="00540C0B" w:rsidP="00AE1B03">
            <w:pPr>
              <w:pStyle w:val="TableParagraph"/>
              <w:spacing w:before="7"/>
              <w:ind w:left="60"/>
              <w:rPr>
                <w:rFonts w:ascii="Times New Roman" w:eastAsia="Arial" w:hAnsi="Times New Roman" w:cs="Times New Roman"/>
                <w:sz w:val="11"/>
                <w:szCs w:val="11"/>
              </w:rPr>
            </w:pPr>
            <w:r w:rsidRPr="00B12A32">
              <w:rPr>
                <w:rFonts w:ascii="Times New Roman" w:hAnsi="Times New Roman" w:cs="Times New Roman"/>
                <w:w w:val="105"/>
                <w:sz w:val="11"/>
              </w:rPr>
              <w:t>2,21</w:t>
            </w:r>
          </w:p>
        </w:tc>
        <w:tc>
          <w:tcPr>
            <w:tcW w:w="346" w:type="dxa"/>
            <w:tcBorders>
              <w:top w:val="nil"/>
              <w:left w:val="nil"/>
              <w:bottom w:val="nil"/>
              <w:right w:val="nil"/>
            </w:tcBorders>
          </w:tcPr>
          <w:p w:rsidR="00540C0B" w:rsidRPr="00B12A32" w:rsidRDefault="00540C0B" w:rsidP="00AE1B03">
            <w:pPr>
              <w:pStyle w:val="TableParagraph"/>
              <w:spacing w:before="7"/>
              <w:ind w:left="61"/>
              <w:rPr>
                <w:rFonts w:ascii="Times New Roman" w:eastAsia="Arial" w:hAnsi="Times New Roman" w:cs="Times New Roman"/>
                <w:sz w:val="11"/>
                <w:szCs w:val="11"/>
              </w:rPr>
            </w:pPr>
            <w:r w:rsidRPr="00B12A32">
              <w:rPr>
                <w:rFonts w:ascii="Times New Roman" w:hAnsi="Times New Roman" w:cs="Times New Roman"/>
                <w:w w:val="105"/>
                <w:sz w:val="11"/>
              </w:rPr>
              <w:t>6,52</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7"/>
              <w:ind w:left="75"/>
              <w:rPr>
                <w:rFonts w:ascii="Times New Roman" w:eastAsia="Arial" w:hAnsi="Times New Roman" w:cs="Times New Roman"/>
                <w:sz w:val="11"/>
                <w:szCs w:val="11"/>
              </w:rPr>
            </w:pPr>
            <w:r w:rsidRPr="00B12A32">
              <w:rPr>
                <w:rFonts w:ascii="Times New Roman" w:hAnsi="Times New Roman" w:cs="Times New Roman"/>
                <w:w w:val="105"/>
                <w:sz w:val="11"/>
              </w:rPr>
              <w:t>97,90</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single" w:sz="4" w:space="0" w:color="000000"/>
              <w:left w:val="nil"/>
              <w:bottom w:val="nil"/>
              <w:right w:val="nil"/>
            </w:tcBorders>
          </w:tcPr>
          <w:p w:rsidR="00540C0B" w:rsidRPr="00B12A32" w:rsidRDefault="00540C0B" w:rsidP="00AE1B03">
            <w:pPr>
              <w:pStyle w:val="TableParagraph"/>
              <w:spacing w:before="2"/>
              <w:ind w:left="95"/>
              <w:rPr>
                <w:rFonts w:ascii="Times New Roman" w:eastAsia="Arial" w:hAnsi="Times New Roman" w:cs="Times New Roman"/>
                <w:sz w:val="11"/>
                <w:szCs w:val="11"/>
              </w:rPr>
            </w:pPr>
            <w:r w:rsidRPr="00B12A32">
              <w:rPr>
                <w:rFonts w:ascii="Times New Roman" w:hAnsi="Times New Roman" w:cs="Times New Roman"/>
                <w:w w:val="105"/>
                <w:sz w:val="11"/>
              </w:rPr>
              <w:t>Ba</w:t>
            </w: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120"/>
              <w:rPr>
                <w:rFonts w:ascii="Times New Roman" w:eastAsia="Arial" w:hAnsi="Times New Roman" w:cs="Times New Roman"/>
                <w:sz w:val="11"/>
                <w:szCs w:val="11"/>
              </w:rPr>
            </w:pPr>
            <w:r w:rsidRPr="00B12A32">
              <w:rPr>
                <w:rFonts w:ascii="Times New Roman" w:hAnsi="Times New Roman" w:cs="Times New Roman"/>
                <w:w w:val="105"/>
                <w:sz w:val="11"/>
              </w:rPr>
              <w:t>80a</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right="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75,4</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0,53</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13,3</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0,62</w:t>
            </w: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0,88</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0,23</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0,29</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6,93</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75"/>
              <w:rPr>
                <w:rFonts w:ascii="Times New Roman" w:eastAsia="Arial" w:hAnsi="Times New Roman" w:cs="Times New Roman"/>
                <w:sz w:val="11"/>
                <w:szCs w:val="11"/>
              </w:rPr>
            </w:pPr>
            <w:r w:rsidRPr="00B12A32">
              <w:rPr>
                <w:rFonts w:ascii="Times New Roman" w:hAnsi="Times New Roman" w:cs="Times New Roman"/>
                <w:w w:val="105"/>
                <w:sz w:val="11"/>
              </w:rPr>
              <w:t>98,46</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ppm</w:t>
            </w: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77"/>
              <w:rPr>
                <w:rFonts w:ascii="Times New Roman" w:eastAsia="Arial" w:hAnsi="Times New Roman" w:cs="Times New Roman"/>
                <w:sz w:val="11"/>
                <w:szCs w:val="11"/>
              </w:rPr>
            </w:pPr>
            <w:r w:rsidRPr="00B12A32">
              <w:rPr>
                <w:rFonts w:ascii="Times New Roman" w:hAnsi="Times New Roman" w:cs="Times New Roman"/>
                <w:w w:val="105"/>
                <w:sz w:val="11"/>
              </w:rPr>
              <w:t>80mc</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K-feldspar</w:t>
            </w: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65,5</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0,34</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19,3</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0,33</w:t>
            </w: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0,06</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0,30</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3,20</w:t>
            </w:r>
          </w:p>
        </w:tc>
        <w:tc>
          <w:tcPr>
            <w:tcW w:w="346" w:type="dxa"/>
            <w:tcBorders>
              <w:top w:val="nil"/>
              <w:left w:val="nil"/>
              <w:bottom w:val="nil"/>
              <w:right w:val="nil"/>
            </w:tcBorders>
          </w:tcPr>
          <w:p w:rsidR="00540C0B" w:rsidRPr="00B12A32" w:rsidRDefault="00540C0B" w:rsidP="00AE1B03">
            <w:pPr>
              <w:pStyle w:val="TableParagraph"/>
              <w:spacing w:before="1"/>
              <w:ind w:left="30"/>
              <w:rPr>
                <w:rFonts w:ascii="Times New Roman" w:eastAsia="Arial" w:hAnsi="Times New Roman" w:cs="Times New Roman"/>
                <w:sz w:val="11"/>
                <w:szCs w:val="11"/>
              </w:rPr>
            </w:pPr>
            <w:r w:rsidRPr="00B12A32">
              <w:rPr>
                <w:rFonts w:ascii="Times New Roman" w:hAnsi="Times New Roman" w:cs="Times New Roman"/>
                <w:w w:val="105"/>
                <w:sz w:val="11"/>
              </w:rPr>
              <w:t>11,81</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101,63</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pStyle w:val="TableParagraph"/>
              <w:spacing w:before="1"/>
              <w:ind w:left="26"/>
              <w:rPr>
                <w:rFonts w:ascii="Times New Roman" w:eastAsia="Arial" w:hAnsi="Times New Roman" w:cs="Times New Roman"/>
                <w:sz w:val="11"/>
                <w:szCs w:val="11"/>
              </w:rPr>
            </w:pPr>
            <w:r w:rsidRPr="00B12A32">
              <w:rPr>
                <w:rFonts w:ascii="Times New Roman" w:hAnsi="Times New Roman" w:cs="Times New Roman"/>
                <w:w w:val="105"/>
                <w:sz w:val="11"/>
              </w:rPr>
              <w:t>7260</w:t>
            </w: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77"/>
              <w:rPr>
                <w:rFonts w:ascii="Times New Roman" w:eastAsia="Arial" w:hAnsi="Times New Roman" w:cs="Times New Roman"/>
                <w:sz w:val="11"/>
                <w:szCs w:val="11"/>
              </w:rPr>
            </w:pPr>
            <w:r w:rsidRPr="00B12A32">
              <w:rPr>
                <w:rFonts w:ascii="Times New Roman" w:hAnsi="Times New Roman" w:cs="Times New Roman"/>
                <w:w w:val="105"/>
                <w:sz w:val="11"/>
              </w:rPr>
              <w:t>80mc</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plagioclas</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59,20</w:t>
            </w: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24,88</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0,23</w:t>
            </w: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6,53</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7,02</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0,62</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75"/>
              <w:rPr>
                <w:rFonts w:ascii="Times New Roman" w:eastAsia="Arial" w:hAnsi="Times New Roman" w:cs="Times New Roman"/>
                <w:sz w:val="11"/>
                <w:szCs w:val="11"/>
              </w:rPr>
            </w:pPr>
            <w:r w:rsidRPr="00B12A32">
              <w:rPr>
                <w:rFonts w:ascii="Times New Roman" w:hAnsi="Times New Roman" w:cs="Times New Roman"/>
                <w:w w:val="105"/>
                <w:sz w:val="11"/>
              </w:rPr>
              <w:t>94,48</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right="1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77"/>
              <w:rPr>
                <w:rFonts w:ascii="Times New Roman" w:eastAsia="Arial" w:hAnsi="Times New Roman" w:cs="Times New Roman"/>
                <w:sz w:val="11"/>
                <w:szCs w:val="11"/>
              </w:rPr>
            </w:pPr>
            <w:r w:rsidRPr="00B12A32">
              <w:rPr>
                <w:rFonts w:ascii="Times New Roman" w:hAnsi="Times New Roman" w:cs="Times New Roman"/>
                <w:w w:val="105"/>
                <w:sz w:val="11"/>
              </w:rPr>
              <w:t>80mc</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biotite</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34,80</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2,49</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18,82</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22"/>
              <w:rPr>
                <w:rFonts w:ascii="Times New Roman" w:eastAsia="Arial" w:hAnsi="Times New Roman" w:cs="Times New Roman"/>
                <w:sz w:val="11"/>
                <w:szCs w:val="11"/>
              </w:rPr>
            </w:pPr>
            <w:r w:rsidRPr="00B12A32">
              <w:rPr>
                <w:rFonts w:ascii="Times New Roman" w:hAnsi="Times New Roman" w:cs="Times New Roman"/>
                <w:w w:val="105"/>
                <w:sz w:val="11"/>
              </w:rPr>
              <w:t>21,40</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0,20</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9,82</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0,31</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0,44</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3,84</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75"/>
              <w:rPr>
                <w:rFonts w:ascii="Times New Roman" w:eastAsia="Arial" w:hAnsi="Times New Roman" w:cs="Times New Roman"/>
                <w:sz w:val="11"/>
                <w:szCs w:val="11"/>
              </w:rPr>
            </w:pPr>
            <w:r w:rsidRPr="00B12A32">
              <w:rPr>
                <w:rFonts w:ascii="Times New Roman" w:hAnsi="Times New Roman" w:cs="Times New Roman"/>
                <w:w w:val="105"/>
                <w:sz w:val="11"/>
              </w:rPr>
              <w:t>92,16</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early</w:t>
            </w: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sz w:val="11"/>
              </w:rPr>
              <w:t>South</w:t>
            </w:r>
            <w:r w:rsidRPr="00B12A32">
              <w:rPr>
                <w:rFonts w:ascii="Times New Roman" w:hAnsi="Times New Roman" w:cs="Times New Roman"/>
                <w:spacing w:val="13"/>
                <w:sz w:val="11"/>
              </w:rPr>
              <w:t xml:space="preserve"> </w:t>
            </w:r>
            <w:r w:rsidRPr="00B12A32">
              <w:rPr>
                <w:rFonts w:ascii="Times New Roman" w:hAnsi="Times New Roman" w:cs="Times New Roman"/>
                <w:sz w:val="11"/>
              </w:rPr>
              <w:t>Apennines</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Miocene</w:t>
            </w: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Cilento</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7" w:type="dxa"/>
            <w:tcBorders>
              <w:top w:val="nil"/>
              <w:left w:val="nil"/>
              <w:bottom w:val="nil"/>
              <w:right w:val="nil"/>
            </w:tcBorders>
          </w:tcPr>
          <w:p w:rsidR="00540C0B" w:rsidRPr="00B12A32" w:rsidRDefault="00540C0B" w:rsidP="00AE1B03">
            <w:pPr>
              <w:pStyle w:val="TableParagraph"/>
              <w:spacing w:before="1"/>
              <w:ind w:left="34"/>
              <w:rPr>
                <w:rFonts w:ascii="Times New Roman" w:eastAsia="Arial" w:hAnsi="Times New Roman" w:cs="Times New Roman"/>
                <w:sz w:val="11"/>
                <w:szCs w:val="11"/>
              </w:rPr>
            </w:pPr>
            <w:r w:rsidRPr="00B12A32">
              <w:rPr>
                <w:rFonts w:ascii="Times New Roman" w:hAnsi="Times New Roman" w:cs="Times New Roman"/>
                <w:w w:val="105"/>
                <w:sz w:val="11"/>
              </w:rPr>
              <w:t>P2O5</w:t>
            </w: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San</w:t>
            </w:r>
            <w:r w:rsidRPr="00B12A32">
              <w:rPr>
                <w:rFonts w:ascii="Times New Roman" w:hAnsi="Times New Roman" w:cs="Times New Roman"/>
                <w:spacing w:val="-18"/>
                <w:w w:val="105"/>
                <w:sz w:val="11"/>
              </w:rPr>
              <w:t xml:space="preserve"> </w:t>
            </w:r>
            <w:r w:rsidRPr="00B12A32">
              <w:rPr>
                <w:rFonts w:ascii="Times New Roman" w:hAnsi="Times New Roman" w:cs="Times New Roman"/>
                <w:w w:val="105"/>
                <w:sz w:val="11"/>
              </w:rPr>
              <w:t>Mauro/</w:t>
            </w:r>
          </w:p>
        </w:tc>
        <w:tc>
          <w:tcPr>
            <w:tcW w:w="330"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19,</w:t>
            </w:r>
            <w:r w:rsidRPr="00B12A32">
              <w:rPr>
                <w:rFonts w:ascii="Times New Roman" w:hAnsi="Times New Roman" w:cs="Times New Roman"/>
                <w:spacing w:val="-13"/>
                <w:w w:val="105"/>
                <w:sz w:val="11"/>
              </w:rPr>
              <w:t xml:space="preserve"> </w:t>
            </w:r>
            <w:r w:rsidRPr="00B12A32">
              <w:rPr>
                <w:rFonts w:ascii="Times New Roman" w:hAnsi="Times New Roman" w:cs="Times New Roman"/>
                <w:w w:val="105"/>
                <w:sz w:val="11"/>
              </w:rPr>
              <w:t>20</w:t>
            </w:r>
          </w:p>
        </w:tc>
        <w:tc>
          <w:tcPr>
            <w:tcW w:w="393" w:type="dxa"/>
            <w:tcBorders>
              <w:top w:val="nil"/>
              <w:left w:val="nil"/>
              <w:bottom w:val="nil"/>
              <w:right w:val="nil"/>
            </w:tcBorders>
          </w:tcPr>
          <w:p w:rsidR="00540C0B" w:rsidRPr="00B12A32" w:rsidRDefault="00540C0B" w:rsidP="00AE1B03">
            <w:pPr>
              <w:pStyle w:val="TableParagraph"/>
              <w:spacing w:before="1"/>
              <w:ind w:left="31"/>
              <w:rPr>
                <w:rFonts w:ascii="Times New Roman" w:eastAsia="Arial" w:hAnsi="Times New Roman" w:cs="Times New Roman"/>
                <w:sz w:val="11"/>
                <w:szCs w:val="11"/>
              </w:rPr>
            </w:pPr>
            <w:r w:rsidRPr="00B12A32">
              <w:rPr>
                <w:rFonts w:ascii="Times New Roman" w:hAnsi="Times New Roman" w:cs="Times New Roman"/>
                <w:w w:val="105"/>
                <w:sz w:val="11"/>
              </w:rPr>
              <w:t>13</w:t>
            </w:r>
            <w:r w:rsidRPr="00B12A32">
              <w:rPr>
                <w:rFonts w:ascii="Times New Roman" w:hAnsi="Times New Roman" w:cs="Times New Roman"/>
                <w:spacing w:val="-11"/>
                <w:w w:val="105"/>
                <w:sz w:val="11"/>
              </w:rPr>
              <w:t xml:space="preserve"> </w:t>
            </w:r>
            <w:r w:rsidRPr="00B12A32">
              <w:rPr>
                <w:rFonts w:ascii="Times New Roman" w:hAnsi="Times New Roman" w:cs="Times New Roman"/>
                <w:w w:val="105"/>
                <w:sz w:val="11"/>
              </w:rPr>
              <w:t>&amp;14</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rhyodacite</w:t>
            </w:r>
          </w:p>
        </w:tc>
        <w:tc>
          <w:tcPr>
            <w:tcW w:w="524" w:type="dxa"/>
            <w:tcBorders>
              <w:top w:val="nil"/>
              <w:left w:val="nil"/>
              <w:bottom w:val="nil"/>
              <w:right w:val="nil"/>
            </w:tcBorders>
          </w:tcPr>
          <w:p w:rsidR="00540C0B" w:rsidRPr="00B12A32" w:rsidRDefault="00540C0B" w:rsidP="00AE1B03">
            <w:pPr>
              <w:pStyle w:val="TableParagraph"/>
              <w:spacing w:before="1"/>
              <w:ind w:left="20"/>
              <w:rPr>
                <w:rFonts w:ascii="Times New Roman" w:eastAsia="Arial" w:hAnsi="Times New Roman" w:cs="Times New Roman"/>
                <w:sz w:val="11"/>
                <w:szCs w:val="11"/>
              </w:rPr>
            </w:pPr>
            <w:r w:rsidRPr="00B12A32">
              <w:rPr>
                <w:rFonts w:ascii="Times New Roman" w:hAnsi="Times New Roman" w:cs="Times New Roman"/>
                <w:w w:val="105"/>
                <w:sz w:val="11"/>
              </w:rPr>
              <w:t>lava</w:t>
            </w:r>
            <w:r w:rsidRPr="00B12A32">
              <w:rPr>
                <w:rFonts w:ascii="Times New Roman" w:hAnsi="Times New Roman" w:cs="Times New Roman"/>
                <w:spacing w:val="-11"/>
                <w:w w:val="105"/>
                <w:sz w:val="11"/>
              </w:rPr>
              <w:t xml:space="preserve"> </w:t>
            </w:r>
            <w:r w:rsidRPr="00B12A32">
              <w:rPr>
                <w:rFonts w:ascii="Times New Roman" w:hAnsi="Times New Roman" w:cs="Times New Roman"/>
                <w:w w:val="105"/>
                <w:sz w:val="11"/>
              </w:rPr>
              <w:t>clast</w:t>
            </w:r>
          </w:p>
        </w:tc>
        <w:tc>
          <w:tcPr>
            <w:tcW w:w="424" w:type="dxa"/>
            <w:tcBorders>
              <w:top w:val="nil"/>
              <w:left w:val="nil"/>
              <w:bottom w:val="nil"/>
              <w:right w:val="nil"/>
            </w:tcBorders>
          </w:tcPr>
          <w:p w:rsidR="00540C0B" w:rsidRPr="00B12A32" w:rsidRDefault="00540C0B" w:rsidP="00AE1B03">
            <w:pPr>
              <w:pStyle w:val="TableParagraph"/>
              <w:spacing w:before="1"/>
              <w:ind w:left="2"/>
              <w:jc w:val="center"/>
              <w:rPr>
                <w:rFonts w:ascii="Times New Roman" w:eastAsia="Arial" w:hAnsi="Times New Roman" w:cs="Times New Roman"/>
                <w:sz w:val="11"/>
                <w:szCs w:val="11"/>
              </w:rPr>
            </w:pPr>
            <w:r w:rsidRPr="00B12A32">
              <w:rPr>
                <w:rFonts w:ascii="Times New Roman" w:hAnsi="Times New Roman" w:cs="Times New Roman"/>
                <w:w w:val="105"/>
                <w:sz w:val="11"/>
              </w:rPr>
              <w:t>S2</w:t>
            </w:r>
          </w:p>
        </w:tc>
        <w:tc>
          <w:tcPr>
            <w:tcW w:w="356" w:type="dxa"/>
            <w:tcBorders>
              <w:top w:val="nil"/>
              <w:left w:val="nil"/>
              <w:bottom w:val="nil"/>
              <w:right w:val="nil"/>
            </w:tcBorders>
          </w:tcPr>
          <w:p w:rsidR="00540C0B" w:rsidRPr="00B12A32" w:rsidRDefault="00540C0B" w:rsidP="00AE1B03">
            <w:pPr>
              <w:pStyle w:val="TableParagraph"/>
              <w:spacing w:before="1"/>
              <w:ind w:left="105"/>
              <w:rPr>
                <w:rFonts w:ascii="Times New Roman" w:eastAsia="Arial" w:hAnsi="Times New Roman" w:cs="Times New Roman"/>
                <w:sz w:val="11"/>
                <w:szCs w:val="11"/>
              </w:rPr>
            </w:pPr>
            <w:r w:rsidRPr="00B12A32">
              <w:rPr>
                <w:rFonts w:ascii="Times New Roman" w:hAnsi="Times New Roman" w:cs="Times New Roman"/>
                <w:w w:val="105"/>
                <w:sz w:val="11"/>
              </w:rPr>
              <w:t>CA</w:t>
            </w:r>
          </w:p>
        </w:tc>
        <w:tc>
          <w:tcPr>
            <w:tcW w:w="444" w:type="dxa"/>
            <w:tcBorders>
              <w:top w:val="nil"/>
              <w:left w:val="nil"/>
              <w:bottom w:val="nil"/>
              <w:right w:val="nil"/>
            </w:tcBorders>
          </w:tcPr>
          <w:p w:rsidR="00540C0B" w:rsidRPr="00B12A32" w:rsidRDefault="00540C0B" w:rsidP="00AE1B03">
            <w:pPr>
              <w:pStyle w:val="TableParagraph"/>
              <w:spacing w:before="1"/>
              <w:ind w:left="11"/>
              <w:rPr>
                <w:rFonts w:ascii="Times New Roman" w:eastAsia="Arial" w:hAnsi="Times New Roman" w:cs="Times New Roman"/>
                <w:sz w:val="11"/>
                <w:szCs w:val="11"/>
              </w:rPr>
            </w:pPr>
            <w:r w:rsidRPr="00B12A32">
              <w:rPr>
                <w:rFonts w:ascii="Times New Roman" w:hAnsi="Times New Roman" w:cs="Times New Roman"/>
                <w:w w:val="105"/>
                <w:sz w:val="11"/>
              </w:rPr>
              <w:t>wh.</w:t>
            </w:r>
            <w:r w:rsidRPr="00B12A32">
              <w:rPr>
                <w:rFonts w:ascii="Times New Roman" w:hAnsi="Times New Roman" w:cs="Times New Roman"/>
                <w:spacing w:val="-14"/>
                <w:w w:val="105"/>
                <w:sz w:val="11"/>
              </w:rPr>
              <w:t xml:space="preserve"> </w:t>
            </w:r>
            <w:r w:rsidRPr="00B12A32">
              <w:rPr>
                <w:rFonts w:ascii="Times New Roman" w:hAnsi="Times New Roman" w:cs="Times New Roman"/>
                <w:w w:val="105"/>
                <w:sz w:val="11"/>
              </w:rPr>
              <w:t>rock</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68,1</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0,35</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15,3</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3,27</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0,07</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1,69</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1,19</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3,09</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4,36</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0,13</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2,44</w:t>
            </w: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196</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121</w:t>
            </w:r>
          </w:p>
        </w:tc>
        <w:tc>
          <w:tcPr>
            <w:tcW w:w="275" w:type="dxa"/>
            <w:tcBorders>
              <w:top w:val="nil"/>
              <w:left w:val="nil"/>
              <w:bottom w:val="nil"/>
              <w:right w:val="nil"/>
            </w:tcBorders>
          </w:tcPr>
          <w:p w:rsidR="00540C0B" w:rsidRPr="00B12A32" w:rsidRDefault="00540C0B" w:rsidP="00AE1B03">
            <w:pPr>
              <w:pStyle w:val="TableParagraph"/>
              <w:spacing w:before="1"/>
              <w:ind w:right="17"/>
              <w:jc w:val="center"/>
              <w:rPr>
                <w:rFonts w:ascii="Times New Roman" w:eastAsia="Arial" w:hAnsi="Times New Roman" w:cs="Times New Roman"/>
                <w:sz w:val="11"/>
                <w:szCs w:val="11"/>
              </w:rPr>
            </w:pPr>
            <w:r w:rsidRPr="00B12A32">
              <w:rPr>
                <w:rFonts w:ascii="Times New Roman" w:hAnsi="Times New Roman" w:cs="Times New Roman"/>
                <w:w w:val="102"/>
                <w:sz w:val="11"/>
              </w:rPr>
              <w:t>8</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192</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10</w:t>
            </w:r>
          </w:p>
        </w:tc>
        <w:tc>
          <w:tcPr>
            <w:tcW w:w="296"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26</w:t>
            </w:r>
          </w:p>
        </w:tc>
        <w:tc>
          <w:tcPr>
            <w:tcW w:w="341" w:type="dxa"/>
            <w:tcBorders>
              <w:top w:val="nil"/>
              <w:left w:val="nil"/>
              <w:bottom w:val="nil"/>
              <w:right w:val="nil"/>
            </w:tcBorders>
          </w:tcPr>
          <w:p w:rsidR="00540C0B" w:rsidRPr="00B12A32" w:rsidRDefault="00540C0B" w:rsidP="00AE1B03">
            <w:pPr>
              <w:pStyle w:val="TableParagraph"/>
              <w:spacing w:before="1"/>
              <w:ind w:left="120"/>
              <w:rPr>
                <w:rFonts w:ascii="Times New Roman" w:eastAsia="Arial" w:hAnsi="Times New Roman" w:cs="Times New Roman"/>
                <w:sz w:val="11"/>
                <w:szCs w:val="11"/>
              </w:rPr>
            </w:pPr>
            <w:r w:rsidRPr="00B12A32">
              <w:rPr>
                <w:rFonts w:ascii="Times New Roman" w:hAnsi="Times New Roman" w:cs="Times New Roman"/>
                <w:w w:val="105"/>
                <w:sz w:val="11"/>
              </w:rPr>
              <w:t>54</w:t>
            </w:r>
          </w:p>
        </w:tc>
        <w:tc>
          <w:tcPr>
            <w:tcW w:w="312"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597</w:t>
            </w: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Pollica</w:t>
            </w: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rhyolite</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2"/>
              <w:jc w:val="center"/>
              <w:rPr>
                <w:rFonts w:ascii="Times New Roman" w:eastAsia="Arial" w:hAnsi="Times New Roman" w:cs="Times New Roman"/>
                <w:sz w:val="11"/>
                <w:szCs w:val="11"/>
              </w:rPr>
            </w:pPr>
            <w:r w:rsidRPr="00B12A32">
              <w:rPr>
                <w:rFonts w:ascii="Times New Roman" w:hAnsi="Times New Roman" w:cs="Times New Roman"/>
                <w:w w:val="105"/>
                <w:sz w:val="11"/>
              </w:rPr>
              <w:t>S3</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76,3</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0,05</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13,1</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1,01</w:t>
            </w: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0,02</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0,30</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0,06</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2,72</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5,06</w:t>
            </w:r>
          </w:p>
        </w:tc>
        <w:tc>
          <w:tcPr>
            <w:tcW w:w="347" w:type="dxa"/>
            <w:tcBorders>
              <w:top w:val="nil"/>
              <w:left w:val="nil"/>
              <w:bottom w:val="nil"/>
              <w:right w:val="nil"/>
            </w:tcBorders>
          </w:tcPr>
          <w:p w:rsidR="00540C0B" w:rsidRPr="00B12A32" w:rsidRDefault="00540C0B" w:rsidP="00AE1B03">
            <w:pPr>
              <w:pStyle w:val="TableParagraph"/>
              <w:spacing w:before="1"/>
              <w:ind w:left="10"/>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1,37</w:t>
            </w: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137</w:t>
            </w:r>
          </w:p>
        </w:tc>
        <w:tc>
          <w:tcPr>
            <w:tcW w:w="379" w:type="dxa"/>
            <w:tcBorders>
              <w:top w:val="nil"/>
              <w:left w:val="nil"/>
              <w:bottom w:val="nil"/>
              <w:right w:val="nil"/>
            </w:tcBorders>
          </w:tcPr>
          <w:p w:rsidR="00540C0B" w:rsidRPr="00B12A32" w:rsidRDefault="00540C0B" w:rsidP="00AE1B03">
            <w:pPr>
              <w:pStyle w:val="TableParagraph"/>
              <w:spacing w:before="1"/>
              <w:ind w:left="103"/>
              <w:rPr>
                <w:rFonts w:ascii="Times New Roman" w:eastAsia="Arial" w:hAnsi="Times New Roman" w:cs="Times New Roman"/>
                <w:sz w:val="11"/>
                <w:szCs w:val="11"/>
              </w:rPr>
            </w:pPr>
            <w:r w:rsidRPr="00B12A32">
              <w:rPr>
                <w:rFonts w:ascii="Times New Roman" w:hAnsi="Times New Roman" w:cs="Times New Roman"/>
                <w:w w:val="105"/>
                <w:sz w:val="11"/>
              </w:rPr>
              <w:t>16</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21</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102</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11</w:t>
            </w:r>
          </w:p>
        </w:tc>
        <w:tc>
          <w:tcPr>
            <w:tcW w:w="296"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14</w:t>
            </w:r>
          </w:p>
        </w:tc>
        <w:tc>
          <w:tcPr>
            <w:tcW w:w="341" w:type="dxa"/>
            <w:tcBorders>
              <w:top w:val="nil"/>
              <w:left w:val="nil"/>
              <w:bottom w:val="nil"/>
              <w:right w:val="nil"/>
            </w:tcBorders>
          </w:tcPr>
          <w:p w:rsidR="00540C0B" w:rsidRPr="00B12A32" w:rsidRDefault="00540C0B" w:rsidP="00AE1B03">
            <w:pPr>
              <w:pStyle w:val="TableParagraph"/>
              <w:spacing w:before="1"/>
              <w:ind w:left="120"/>
              <w:rPr>
                <w:rFonts w:ascii="Times New Roman" w:eastAsia="Arial" w:hAnsi="Times New Roman" w:cs="Times New Roman"/>
                <w:sz w:val="11"/>
                <w:szCs w:val="11"/>
              </w:rPr>
            </w:pPr>
            <w:r w:rsidRPr="00B12A32">
              <w:rPr>
                <w:rFonts w:ascii="Times New Roman" w:hAnsi="Times New Roman" w:cs="Times New Roman"/>
                <w:w w:val="105"/>
                <w:sz w:val="11"/>
              </w:rPr>
              <w:t>30</w:t>
            </w:r>
          </w:p>
        </w:tc>
        <w:tc>
          <w:tcPr>
            <w:tcW w:w="312"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224</w:t>
            </w: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Miocene</w:t>
            </w: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Lucania</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val="restart"/>
            <w:tcBorders>
              <w:top w:val="nil"/>
              <w:left w:val="nil"/>
              <w:right w:val="nil"/>
            </w:tcBorders>
          </w:tcPr>
          <w:p w:rsidR="00540C0B" w:rsidRPr="00B12A32" w:rsidRDefault="00540C0B" w:rsidP="00AE1B03">
            <w:pPr>
              <w:pStyle w:val="TableParagraph"/>
              <w:spacing w:before="3"/>
              <w:rPr>
                <w:rFonts w:ascii="Times New Roman" w:eastAsia="Times New Roman" w:hAnsi="Times New Roman" w:cs="Times New Roman"/>
                <w:sz w:val="12"/>
                <w:szCs w:val="12"/>
              </w:rPr>
            </w:pPr>
          </w:p>
          <w:p w:rsidR="00540C0B" w:rsidRPr="00B12A32" w:rsidRDefault="00540C0B" w:rsidP="00AE1B03">
            <w:pPr>
              <w:pStyle w:val="TableParagraph"/>
              <w:ind w:left="69"/>
              <w:rPr>
                <w:rFonts w:ascii="Times New Roman" w:eastAsia="Arial" w:hAnsi="Times New Roman" w:cs="Times New Roman"/>
                <w:sz w:val="11"/>
                <w:szCs w:val="11"/>
              </w:rPr>
            </w:pPr>
            <w:r w:rsidRPr="00B12A32">
              <w:rPr>
                <w:rFonts w:ascii="Times New Roman" w:hAnsi="Times New Roman" w:cs="Times New Roman"/>
                <w:w w:val="105"/>
                <w:sz w:val="11"/>
              </w:rPr>
              <w:t>949</w:t>
            </w:r>
          </w:p>
        </w:tc>
        <w:tc>
          <w:tcPr>
            <w:tcW w:w="297"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93"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99"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99"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98"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89"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Gorgoglione</w:t>
            </w:r>
          </w:p>
        </w:tc>
        <w:tc>
          <w:tcPr>
            <w:tcW w:w="330" w:type="dxa"/>
            <w:tcBorders>
              <w:top w:val="nil"/>
              <w:left w:val="nil"/>
              <w:bottom w:val="nil"/>
              <w:right w:val="nil"/>
            </w:tcBorders>
          </w:tcPr>
          <w:p w:rsidR="00540C0B" w:rsidRPr="00B12A32" w:rsidRDefault="00540C0B" w:rsidP="00AE1B03">
            <w:pPr>
              <w:pStyle w:val="TableParagraph"/>
              <w:spacing w:before="1"/>
              <w:ind w:left="80"/>
              <w:rPr>
                <w:rFonts w:ascii="Times New Roman" w:eastAsia="Arial" w:hAnsi="Times New Roman" w:cs="Times New Roman"/>
                <w:sz w:val="11"/>
                <w:szCs w:val="11"/>
              </w:rPr>
            </w:pPr>
            <w:r w:rsidRPr="00B12A32">
              <w:rPr>
                <w:rFonts w:ascii="Times New Roman" w:hAnsi="Times New Roman" w:cs="Times New Roman"/>
                <w:w w:val="105"/>
                <w:sz w:val="11"/>
              </w:rPr>
              <w:t>22</w:t>
            </w:r>
          </w:p>
        </w:tc>
        <w:tc>
          <w:tcPr>
            <w:tcW w:w="393" w:type="dxa"/>
            <w:tcBorders>
              <w:top w:val="nil"/>
              <w:left w:val="nil"/>
              <w:bottom w:val="nil"/>
              <w:right w:val="nil"/>
            </w:tcBorders>
          </w:tcPr>
          <w:p w:rsidR="00540C0B" w:rsidRPr="00B12A32" w:rsidRDefault="00540C0B" w:rsidP="00AE1B03">
            <w:pPr>
              <w:pStyle w:val="TableParagraph"/>
              <w:spacing w:before="1"/>
              <w:ind w:left="146"/>
              <w:rPr>
                <w:rFonts w:ascii="Times New Roman" w:eastAsia="Arial" w:hAnsi="Times New Roman" w:cs="Times New Roman"/>
                <w:sz w:val="11"/>
                <w:szCs w:val="11"/>
              </w:rPr>
            </w:pPr>
            <w:r w:rsidRPr="00B12A32">
              <w:rPr>
                <w:rFonts w:ascii="Times New Roman" w:hAnsi="Times New Roman" w:cs="Times New Roman"/>
                <w:w w:val="105"/>
                <w:sz w:val="11"/>
              </w:rPr>
              <w:t>15</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rhyolite</w:t>
            </w:r>
          </w:p>
        </w:tc>
        <w:tc>
          <w:tcPr>
            <w:tcW w:w="524" w:type="dxa"/>
            <w:tcBorders>
              <w:top w:val="nil"/>
              <w:left w:val="nil"/>
              <w:bottom w:val="nil"/>
              <w:right w:val="nil"/>
            </w:tcBorders>
          </w:tcPr>
          <w:p w:rsidR="00540C0B" w:rsidRPr="00B12A32" w:rsidRDefault="00540C0B" w:rsidP="00AE1B03">
            <w:pPr>
              <w:pStyle w:val="TableParagraph"/>
              <w:spacing w:before="1"/>
              <w:ind w:left="20"/>
              <w:rPr>
                <w:rFonts w:ascii="Times New Roman" w:eastAsia="Arial" w:hAnsi="Times New Roman" w:cs="Times New Roman"/>
                <w:sz w:val="11"/>
                <w:szCs w:val="11"/>
              </w:rPr>
            </w:pPr>
            <w:r w:rsidRPr="00B12A32">
              <w:rPr>
                <w:rFonts w:ascii="Times New Roman" w:hAnsi="Times New Roman" w:cs="Times New Roman"/>
                <w:w w:val="105"/>
                <w:sz w:val="11"/>
              </w:rPr>
              <w:t>lava</w:t>
            </w:r>
            <w:r w:rsidRPr="00B12A32">
              <w:rPr>
                <w:rFonts w:ascii="Times New Roman" w:hAnsi="Times New Roman" w:cs="Times New Roman"/>
                <w:spacing w:val="-11"/>
                <w:w w:val="105"/>
                <w:sz w:val="11"/>
              </w:rPr>
              <w:t xml:space="preserve"> </w:t>
            </w:r>
            <w:r w:rsidRPr="00B12A32">
              <w:rPr>
                <w:rFonts w:ascii="Times New Roman" w:hAnsi="Times New Roman" w:cs="Times New Roman"/>
                <w:w w:val="105"/>
                <w:sz w:val="11"/>
              </w:rPr>
              <w:t>clast</w:t>
            </w:r>
          </w:p>
        </w:tc>
        <w:tc>
          <w:tcPr>
            <w:tcW w:w="424" w:type="dxa"/>
            <w:tcBorders>
              <w:top w:val="nil"/>
              <w:left w:val="nil"/>
              <w:bottom w:val="nil"/>
              <w:right w:val="nil"/>
            </w:tcBorders>
          </w:tcPr>
          <w:p w:rsidR="00540C0B" w:rsidRPr="00B12A32" w:rsidRDefault="00540C0B" w:rsidP="00AE1B03">
            <w:pPr>
              <w:pStyle w:val="TableParagraph"/>
              <w:spacing w:before="1"/>
              <w:ind w:left="132"/>
              <w:rPr>
                <w:rFonts w:ascii="Times New Roman" w:eastAsia="Arial" w:hAnsi="Times New Roman" w:cs="Times New Roman"/>
                <w:sz w:val="11"/>
                <w:szCs w:val="11"/>
              </w:rPr>
            </w:pPr>
            <w:r w:rsidRPr="00B12A32">
              <w:rPr>
                <w:rFonts w:ascii="Times New Roman" w:hAnsi="Times New Roman" w:cs="Times New Roman"/>
                <w:w w:val="105"/>
                <w:sz w:val="11"/>
              </w:rPr>
              <w:t>A</w:t>
            </w:r>
            <w:r w:rsidRPr="00B12A32">
              <w:rPr>
                <w:rFonts w:ascii="Times New Roman" w:hAnsi="Times New Roman" w:cs="Times New Roman"/>
                <w:spacing w:val="-8"/>
                <w:w w:val="105"/>
                <w:sz w:val="11"/>
              </w:rPr>
              <w:t xml:space="preserve"> </w:t>
            </w:r>
            <w:r w:rsidRPr="00B12A32">
              <w:rPr>
                <w:rFonts w:ascii="Times New Roman" w:hAnsi="Times New Roman" w:cs="Times New Roman"/>
                <w:w w:val="105"/>
                <w:sz w:val="11"/>
              </w:rPr>
              <w:t>II</w:t>
            </w:r>
          </w:p>
        </w:tc>
        <w:tc>
          <w:tcPr>
            <w:tcW w:w="356" w:type="dxa"/>
            <w:tcBorders>
              <w:top w:val="nil"/>
              <w:left w:val="nil"/>
              <w:bottom w:val="nil"/>
              <w:right w:val="nil"/>
            </w:tcBorders>
          </w:tcPr>
          <w:p w:rsidR="00540C0B" w:rsidRPr="00B12A32" w:rsidRDefault="00540C0B" w:rsidP="00AE1B03">
            <w:pPr>
              <w:pStyle w:val="TableParagraph"/>
              <w:spacing w:before="1"/>
              <w:ind w:left="105"/>
              <w:rPr>
                <w:rFonts w:ascii="Times New Roman" w:eastAsia="Arial" w:hAnsi="Times New Roman" w:cs="Times New Roman"/>
                <w:sz w:val="11"/>
                <w:szCs w:val="11"/>
              </w:rPr>
            </w:pPr>
            <w:r w:rsidRPr="00B12A32">
              <w:rPr>
                <w:rFonts w:ascii="Times New Roman" w:hAnsi="Times New Roman" w:cs="Times New Roman"/>
                <w:w w:val="105"/>
                <w:sz w:val="11"/>
              </w:rPr>
              <w:t>CA</w:t>
            </w: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vMerge/>
            <w:tcBorders>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69,6</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0,62</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15,3</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1,99</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2,72</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0,04</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1,30</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0,67</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3,11</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4,44</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0,23</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2,06</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102,06</w:t>
            </w: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240</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166</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28</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150</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12</w:t>
            </w: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tcBorders>
              <w:left w:val="nil"/>
              <w:bottom w:val="nil"/>
              <w:right w:val="nil"/>
            </w:tcBorders>
          </w:tcPr>
          <w:p w:rsidR="00540C0B" w:rsidRPr="00B12A32" w:rsidRDefault="00540C0B" w:rsidP="00AE1B03">
            <w:pPr>
              <w:rPr>
                <w:rFonts w:ascii="Times New Roman" w:hAnsi="Times New Roman" w:cs="Times New Roman"/>
              </w:rPr>
            </w:pPr>
          </w:p>
        </w:tc>
        <w:tc>
          <w:tcPr>
            <w:tcW w:w="297" w:type="dxa"/>
            <w:vMerge/>
            <w:tcBorders>
              <w:left w:val="nil"/>
              <w:bottom w:val="nil"/>
              <w:right w:val="nil"/>
            </w:tcBorders>
          </w:tcPr>
          <w:p w:rsidR="00540C0B" w:rsidRPr="00B12A32" w:rsidRDefault="00540C0B" w:rsidP="00AE1B03">
            <w:pPr>
              <w:rPr>
                <w:rFonts w:ascii="Times New Roman" w:hAnsi="Times New Roman" w:cs="Times New Roman"/>
              </w:rPr>
            </w:pPr>
          </w:p>
        </w:tc>
        <w:tc>
          <w:tcPr>
            <w:tcW w:w="293" w:type="dxa"/>
            <w:vMerge/>
            <w:tcBorders>
              <w:left w:val="nil"/>
              <w:bottom w:val="nil"/>
              <w:right w:val="nil"/>
            </w:tcBorders>
          </w:tcPr>
          <w:p w:rsidR="00540C0B" w:rsidRPr="00B12A32" w:rsidRDefault="00540C0B" w:rsidP="00AE1B03">
            <w:pPr>
              <w:rPr>
                <w:rFonts w:ascii="Times New Roman" w:hAnsi="Times New Roman" w:cs="Times New Roman"/>
              </w:rPr>
            </w:pPr>
          </w:p>
        </w:tc>
        <w:tc>
          <w:tcPr>
            <w:tcW w:w="299" w:type="dxa"/>
            <w:vMerge/>
            <w:tcBorders>
              <w:left w:val="nil"/>
              <w:bottom w:val="nil"/>
              <w:right w:val="nil"/>
            </w:tcBorders>
          </w:tcPr>
          <w:p w:rsidR="00540C0B" w:rsidRPr="00B12A32" w:rsidRDefault="00540C0B" w:rsidP="00AE1B03">
            <w:pPr>
              <w:rPr>
                <w:rFonts w:ascii="Times New Roman" w:hAnsi="Times New Roman" w:cs="Times New Roman"/>
              </w:rPr>
            </w:pPr>
          </w:p>
        </w:tc>
        <w:tc>
          <w:tcPr>
            <w:tcW w:w="299" w:type="dxa"/>
            <w:vMerge/>
            <w:tcBorders>
              <w:left w:val="nil"/>
              <w:bottom w:val="nil"/>
              <w:right w:val="nil"/>
            </w:tcBorders>
          </w:tcPr>
          <w:p w:rsidR="00540C0B" w:rsidRPr="00B12A32" w:rsidRDefault="00540C0B" w:rsidP="00AE1B03">
            <w:pPr>
              <w:rPr>
                <w:rFonts w:ascii="Times New Roman" w:hAnsi="Times New Roman" w:cs="Times New Roman"/>
              </w:rPr>
            </w:pPr>
          </w:p>
        </w:tc>
        <w:tc>
          <w:tcPr>
            <w:tcW w:w="298" w:type="dxa"/>
            <w:vMerge/>
            <w:tcBorders>
              <w:left w:val="nil"/>
              <w:bottom w:val="nil"/>
              <w:right w:val="nil"/>
            </w:tcBorders>
          </w:tcPr>
          <w:p w:rsidR="00540C0B" w:rsidRPr="00B12A32" w:rsidRDefault="00540C0B" w:rsidP="00AE1B03">
            <w:pPr>
              <w:rPr>
                <w:rFonts w:ascii="Times New Roman" w:hAnsi="Times New Roman" w:cs="Times New Roman"/>
              </w:rPr>
            </w:pPr>
          </w:p>
        </w:tc>
        <w:tc>
          <w:tcPr>
            <w:tcW w:w="289" w:type="dxa"/>
            <w:vMerge/>
            <w:tcBorders>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flysch</w:t>
            </w: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C</w:t>
            </w:r>
            <w:r w:rsidRPr="00B12A32">
              <w:rPr>
                <w:rFonts w:ascii="Times New Roman" w:hAnsi="Times New Roman" w:cs="Times New Roman"/>
                <w:spacing w:val="-10"/>
                <w:w w:val="105"/>
                <w:sz w:val="11"/>
              </w:rPr>
              <w:t xml:space="preserve"> </w:t>
            </w:r>
            <w:r w:rsidRPr="00B12A32">
              <w:rPr>
                <w:rFonts w:ascii="Times New Roman" w:hAnsi="Times New Roman" w:cs="Times New Roman"/>
                <w:w w:val="105"/>
                <w:sz w:val="11"/>
              </w:rPr>
              <w:t>13A</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71,2</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0,36</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13,6</w:t>
            </w:r>
          </w:p>
        </w:tc>
        <w:tc>
          <w:tcPr>
            <w:tcW w:w="385" w:type="dxa"/>
            <w:tcBorders>
              <w:top w:val="nil"/>
              <w:left w:val="nil"/>
              <w:bottom w:val="nil"/>
              <w:right w:val="nil"/>
            </w:tcBorders>
          </w:tcPr>
          <w:p w:rsidR="00540C0B" w:rsidRPr="00B12A32" w:rsidRDefault="00540C0B" w:rsidP="00AE1B03">
            <w:pPr>
              <w:pStyle w:val="TableParagraph"/>
              <w:spacing w:before="1"/>
              <w:ind w:left="112"/>
              <w:rPr>
                <w:rFonts w:ascii="Times New Roman" w:eastAsia="Arial" w:hAnsi="Times New Roman" w:cs="Times New Roman"/>
                <w:sz w:val="11"/>
                <w:szCs w:val="11"/>
              </w:rPr>
            </w:pPr>
            <w:r w:rsidRPr="00B12A32">
              <w:rPr>
                <w:rFonts w:ascii="Times New Roman" w:hAnsi="Times New Roman" w:cs="Times New Roman"/>
                <w:w w:val="105"/>
                <w:sz w:val="11"/>
              </w:rPr>
              <w:t>1,8</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2,01</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0,05</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1,30</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0,70</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3,39</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5,51</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0,12</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1,51</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101,53</w:t>
            </w: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191</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150</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30</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160</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15</w:t>
            </w: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682</w:t>
            </w:r>
          </w:p>
        </w:tc>
        <w:tc>
          <w:tcPr>
            <w:tcW w:w="29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8"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8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99"/>
              <w:rPr>
                <w:rFonts w:ascii="Times New Roman" w:eastAsia="Arial" w:hAnsi="Times New Roman" w:cs="Times New Roman"/>
                <w:sz w:val="11"/>
                <w:szCs w:val="11"/>
              </w:rPr>
            </w:pPr>
            <w:r w:rsidRPr="00B12A32">
              <w:rPr>
                <w:rFonts w:ascii="Times New Roman" w:hAnsi="Times New Roman" w:cs="Times New Roman"/>
                <w:w w:val="105"/>
                <w:sz w:val="11"/>
              </w:rPr>
              <w:t>B</w:t>
            </w:r>
            <w:r w:rsidRPr="00B12A32">
              <w:rPr>
                <w:rFonts w:ascii="Times New Roman" w:hAnsi="Times New Roman" w:cs="Times New Roman"/>
                <w:spacing w:val="-8"/>
                <w:w w:val="105"/>
                <w:sz w:val="11"/>
              </w:rPr>
              <w:t xml:space="preserve"> </w:t>
            </w:r>
            <w:r w:rsidRPr="00B12A32">
              <w:rPr>
                <w:rFonts w:ascii="Times New Roman" w:hAnsi="Times New Roman" w:cs="Times New Roman"/>
                <w:w w:val="105"/>
                <w:sz w:val="11"/>
              </w:rPr>
              <w:t>12</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pStyle w:val="TableParagraph"/>
              <w:spacing w:before="1"/>
              <w:ind w:right="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pStyle w:val="TableParagraph"/>
              <w:spacing w:before="1"/>
              <w:ind w:left="58"/>
              <w:rPr>
                <w:rFonts w:ascii="Times New Roman" w:eastAsia="Arial" w:hAnsi="Times New Roman" w:cs="Times New Roman"/>
                <w:sz w:val="11"/>
                <w:szCs w:val="11"/>
              </w:rPr>
            </w:pPr>
            <w:r w:rsidRPr="00B12A32">
              <w:rPr>
                <w:rFonts w:ascii="Times New Roman" w:hAnsi="Times New Roman" w:cs="Times New Roman"/>
                <w:w w:val="105"/>
                <w:sz w:val="11"/>
              </w:rPr>
              <w:t>75,1</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0,19</w:t>
            </w:r>
          </w:p>
        </w:tc>
        <w:tc>
          <w:tcPr>
            <w:tcW w:w="353" w:type="dxa"/>
            <w:tcBorders>
              <w:top w:val="nil"/>
              <w:left w:val="nil"/>
              <w:bottom w:val="nil"/>
              <w:right w:val="nil"/>
            </w:tcBorders>
          </w:tcPr>
          <w:p w:rsidR="00540C0B" w:rsidRPr="00B12A32" w:rsidRDefault="00540C0B" w:rsidP="00AE1B03">
            <w:pPr>
              <w:pStyle w:val="TableParagraph"/>
              <w:spacing w:before="1"/>
              <w:ind w:left="72"/>
              <w:rPr>
                <w:rFonts w:ascii="Times New Roman" w:eastAsia="Arial" w:hAnsi="Times New Roman" w:cs="Times New Roman"/>
                <w:sz w:val="11"/>
                <w:szCs w:val="11"/>
              </w:rPr>
            </w:pPr>
            <w:r w:rsidRPr="00B12A32">
              <w:rPr>
                <w:rFonts w:ascii="Times New Roman" w:hAnsi="Times New Roman" w:cs="Times New Roman"/>
                <w:w w:val="105"/>
                <w:sz w:val="11"/>
              </w:rPr>
              <w:t>13,1</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0,66</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1,35</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0,03</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0,46</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0,78</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3,57</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4,65</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0,07</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1,01</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101,02</w:t>
            </w: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159</w:t>
            </w:r>
          </w:p>
        </w:tc>
        <w:tc>
          <w:tcPr>
            <w:tcW w:w="379" w:type="dxa"/>
            <w:tcBorders>
              <w:top w:val="nil"/>
              <w:left w:val="nil"/>
              <w:bottom w:val="nil"/>
              <w:right w:val="nil"/>
            </w:tcBorders>
          </w:tcPr>
          <w:p w:rsidR="00540C0B" w:rsidRPr="00B12A32" w:rsidRDefault="00540C0B" w:rsidP="00AE1B03">
            <w:pPr>
              <w:pStyle w:val="TableParagraph"/>
              <w:spacing w:before="1"/>
              <w:ind w:left="103"/>
              <w:rPr>
                <w:rFonts w:ascii="Times New Roman" w:eastAsia="Arial" w:hAnsi="Times New Roman" w:cs="Times New Roman"/>
                <w:sz w:val="11"/>
                <w:szCs w:val="11"/>
              </w:rPr>
            </w:pPr>
            <w:r w:rsidRPr="00B12A32">
              <w:rPr>
                <w:rFonts w:ascii="Times New Roman" w:hAnsi="Times New Roman" w:cs="Times New Roman"/>
                <w:w w:val="105"/>
                <w:sz w:val="11"/>
              </w:rPr>
              <w:t>55</w:t>
            </w:r>
          </w:p>
        </w:tc>
        <w:tc>
          <w:tcPr>
            <w:tcW w:w="275" w:type="dxa"/>
            <w:tcBorders>
              <w:top w:val="nil"/>
              <w:left w:val="nil"/>
              <w:bottom w:val="nil"/>
              <w:right w:val="nil"/>
            </w:tcBorders>
          </w:tcPr>
          <w:p w:rsidR="00540C0B" w:rsidRPr="00B12A32" w:rsidRDefault="00540C0B" w:rsidP="00AE1B03">
            <w:pPr>
              <w:pStyle w:val="TableParagraph"/>
              <w:spacing w:before="1"/>
              <w:ind w:left="65"/>
              <w:rPr>
                <w:rFonts w:ascii="Times New Roman" w:eastAsia="Arial" w:hAnsi="Times New Roman" w:cs="Times New Roman"/>
                <w:sz w:val="11"/>
                <w:szCs w:val="11"/>
              </w:rPr>
            </w:pPr>
            <w:r w:rsidRPr="00B12A32">
              <w:rPr>
                <w:rFonts w:ascii="Times New Roman" w:hAnsi="Times New Roman" w:cs="Times New Roman"/>
                <w:w w:val="105"/>
                <w:sz w:val="11"/>
              </w:rPr>
              <w:t>33</w:t>
            </w:r>
          </w:p>
        </w:tc>
        <w:tc>
          <w:tcPr>
            <w:tcW w:w="316" w:type="dxa"/>
            <w:tcBorders>
              <w:top w:val="nil"/>
              <w:left w:val="nil"/>
              <w:bottom w:val="nil"/>
              <w:right w:val="nil"/>
            </w:tcBorders>
          </w:tcPr>
          <w:p w:rsidR="00540C0B" w:rsidRPr="00B12A32" w:rsidRDefault="00540C0B" w:rsidP="00AE1B03">
            <w:pPr>
              <w:pStyle w:val="TableParagraph"/>
              <w:spacing w:before="1"/>
              <w:ind w:left="85"/>
              <w:rPr>
                <w:rFonts w:ascii="Times New Roman" w:eastAsia="Arial" w:hAnsi="Times New Roman" w:cs="Times New Roman"/>
                <w:sz w:val="11"/>
                <w:szCs w:val="11"/>
              </w:rPr>
            </w:pPr>
            <w:r w:rsidRPr="00B12A32">
              <w:rPr>
                <w:rFonts w:ascii="Times New Roman" w:hAnsi="Times New Roman" w:cs="Times New Roman"/>
                <w:w w:val="105"/>
                <w:sz w:val="11"/>
              </w:rPr>
              <w:t>167</w:t>
            </w:r>
          </w:p>
        </w:tc>
        <w:tc>
          <w:tcPr>
            <w:tcW w:w="225" w:type="dxa"/>
            <w:tcBorders>
              <w:top w:val="nil"/>
              <w:left w:val="nil"/>
              <w:bottom w:val="nil"/>
              <w:right w:val="nil"/>
            </w:tcBorders>
          </w:tcPr>
          <w:p w:rsidR="00540C0B" w:rsidRPr="00B12A32" w:rsidRDefault="00540C0B" w:rsidP="00AE1B03">
            <w:pPr>
              <w:pStyle w:val="TableParagraph"/>
              <w:spacing w:before="1"/>
              <w:ind w:left="52"/>
              <w:rPr>
                <w:rFonts w:ascii="Times New Roman" w:eastAsia="Arial" w:hAnsi="Times New Roman" w:cs="Times New Roman"/>
                <w:sz w:val="11"/>
                <w:szCs w:val="11"/>
              </w:rPr>
            </w:pPr>
            <w:r w:rsidRPr="00B12A32">
              <w:rPr>
                <w:rFonts w:ascii="Times New Roman" w:hAnsi="Times New Roman" w:cs="Times New Roman"/>
                <w:w w:val="105"/>
                <w:sz w:val="11"/>
              </w:rPr>
              <w:t>17</w:t>
            </w: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val="restart"/>
            <w:tcBorders>
              <w:top w:val="nil"/>
              <w:left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349</w:t>
            </w:r>
          </w:p>
        </w:tc>
        <w:tc>
          <w:tcPr>
            <w:tcW w:w="297"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93"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99"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99"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98"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89"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pStyle w:val="TableParagraph"/>
              <w:spacing w:before="1"/>
              <w:ind w:left="21"/>
              <w:rPr>
                <w:rFonts w:ascii="Times New Roman" w:eastAsia="Arial" w:hAnsi="Times New Roman" w:cs="Times New Roman"/>
                <w:sz w:val="11"/>
                <w:szCs w:val="11"/>
              </w:rPr>
            </w:pPr>
            <w:r w:rsidRPr="00B12A32">
              <w:rPr>
                <w:rFonts w:ascii="Times New Roman" w:hAnsi="Times New Roman" w:cs="Times New Roman"/>
                <w:w w:val="105"/>
                <w:sz w:val="11"/>
              </w:rPr>
              <w:t>mid</w:t>
            </w:r>
            <w:r w:rsidRPr="00B12A32">
              <w:rPr>
                <w:rFonts w:ascii="Times New Roman" w:hAnsi="Times New Roman" w:cs="Times New Roman"/>
                <w:spacing w:val="-20"/>
                <w:w w:val="105"/>
                <w:sz w:val="11"/>
              </w:rPr>
              <w:t xml:space="preserve"> </w:t>
            </w:r>
            <w:r w:rsidRPr="00B12A32">
              <w:rPr>
                <w:rFonts w:ascii="Times New Roman" w:hAnsi="Times New Roman" w:cs="Times New Roman"/>
                <w:w w:val="105"/>
                <w:sz w:val="11"/>
              </w:rPr>
              <w:t>Mioce</w:t>
            </w: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Sicily</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tcBorders>
              <w:left w:val="nil"/>
              <w:right w:val="nil"/>
            </w:tcBorders>
          </w:tcPr>
          <w:p w:rsidR="00540C0B" w:rsidRPr="00B12A32" w:rsidRDefault="00540C0B" w:rsidP="00AE1B03">
            <w:pPr>
              <w:rPr>
                <w:rFonts w:ascii="Times New Roman" w:hAnsi="Times New Roman" w:cs="Times New Roman"/>
              </w:rPr>
            </w:pPr>
          </w:p>
        </w:tc>
        <w:tc>
          <w:tcPr>
            <w:tcW w:w="297" w:type="dxa"/>
            <w:vMerge/>
            <w:tcBorders>
              <w:left w:val="nil"/>
              <w:right w:val="nil"/>
            </w:tcBorders>
          </w:tcPr>
          <w:p w:rsidR="00540C0B" w:rsidRPr="00B12A32" w:rsidRDefault="00540C0B" w:rsidP="00AE1B03">
            <w:pPr>
              <w:rPr>
                <w:rFonts w:ascii="Times New Roman" w:hAnsi="Times New Roman" w:cs="Times New Roman"/>
              </w:rPr>
            </w:pPr>
          </w:p>
        </w:tc>
        <w:tc>
          <w:tcPr>
            <w:tcW w:w="293"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8" w:type="dxa"/>
            <w:vMerge/>
            <w:tcBorders>
              <w:left w:val="nil"/>
              <w:right w:val="nil"/>
            </w:tcBorders>
          </w:tcPr>
          <w:p w:rsidR="00540C0B" w:rsidRPr="00B12A32" w:rsidRDefault="00540C0B" w:rsidP="00AE1B03">
            <w:pPr>
              <w:rPr>
                <w:rFonts w:ascii="Times New Roman" w:hAnsi="Times New Roman" w:cs="Times New Roman"/>
              </w:rPr>
            </w:pPr>
          </w:p>
        </w:tc>
        <w:tc>
          <w:tcPr>
            <w:tcW w:w="289" w:type="dxa"/>
            <w:vMerge/>
            <w:tcBorders>
              <w:left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Case</w:t>
            </w:r>
            <w:r w:rsidRPr="00B12A32">
              <w:rPr>
                <w:rFonts w:ascii="Times New Roman" w:hAnsi="Times New Roman" w:cs="Times New Roman"/>
                <w:spacing w:val="-18"/>
                <w:w w:val="105"/>
                <w:sz w:val="11"/>
              </w:rPr>
              <w:t xml:space="preserve"> </w:t>
            </w:r>
            <w:r w:rsidRPr="00B12A32">
              <w:rPr>
                <w:rFonts w:ascii="Times New Roman" w:hAnsi="Times New Roman" w:cs="Times New Roman"/>
                <w:w w:val="105"/>
                <w:sz w:val="11"/>
              </w:rPr>
              <w:t>Liardo</w:t>
            </w:r>
          </w:p>
        </w:tc>
        <w:tc>
          <w:tcPr>
            <w:tcW w:w="330" w:type="dxa"/>
            <w:tcBorders>
              <w:top w:val="nil"/>
              <w:left w:val="nil"/>
              <w:bottom w:val="nil"/>
              <w:right w:val="nil"/>
            </w:tcBorders>
          </w:tcPr>
          <w:p w:rsidR="00540C0B" w:rsidRPr="00B12A32" w:rsidRDefault="00540C0B" w:rsidP="00AE1B03">
            <w:pPr>
              <w:pStyle w:val="TableParagraph"/>
              <w:spacing w:before="1"/>
              <w:ind w:left="80"/>
              <w:rPr>
                <w:rFonts w:ascii="Times New Roman" w:eastAsia="Arial" w:hAnsi="Times New Roman" w:cs="Times New Roman"/>
                <w:sz w:val="11"/>
                <w:szCs w:val="11"/>
              </w:rPr>
            </w:pPr>
            <w:r w:rsidRPr="00B12A32">
              <w:rPr>
                <w:rFonts w:ascii="Times New Roman" w:hAnsi="Times New Roman" w:cs="Times New Roman"/>
                <w:w w:val="105"/>
                <w:sz w:val="11"/>
              </w:rPr>
              <w:t>11</w:t>
            </w:r>
          </w:p>
        </w:tc>
        <w:tc>
          <w:tcPr>
            <w:tcW w:w="393" w:type="dxa"/>
            <w:tcBorders>
              <w:top w:val="nil"/>
              <w:left w:val="nil"/>
              <w:bottom w:val="nil"/>
              <w:right w:val="nil"/>
            </w:tcBorders>
          </w:tcPr>
          <w:p w:rsidR="00540C0B" w:rsidRPr="00B12A32" w:rsidRDefault="00540C0B" w:rsidP="00AE1B03">
            <w:pPr>
              <w:pStyle w:val="TableParagraph"/>
              <w:spacing w:before="1"/>
              <w:ind w:left="146"/>
              <w:rPr>
                <w:rFonts w:ascii="Times New Roman" w:eastAsia="Arial" w:hAnsi="Times New Roman" w:cs="Times New Roman"/>
                <w:sz w:val="11"/>
                <w:szCs w:val="11"/>
              </w:rPr>
            </w:pPr>
            <w:r w:rsidRPr="00B12A32">
              <w:rPr>
                <w:rFonts w:ascii="Times New Roman" w:hAnsi="Times New Roman" w:cs="Times New Roman"/>
                <w:w w:val="105"/>
                <w:sz w:val="11"/>
              </w:rPr>
              <w:t>11</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rhyolite</w:t>
            </w:r>
          </w:p>
        </w:tc>
        <w:tc>
          <w:tcPr>
            <w:tcW w:w="524" w:type="dxa"/>
            <w:tcBorders>
              <w:top w:val="nil"/>
              <w:left w:val="nil"/>
              <w:bottom w:val="nil"/>
              <w:right w:val="nil"/>
            </w:tcBorders>
          </w:tcPr>
          <w:p w:rsidR="00540C0B" w:rsidRPr="00B12A32" w:rsidRDefault="00540C0B" w:rsidP="00AE1B03">
            <w:pPr>
              <w:pStyle w:val="TableParagraph"/>
              <w:spacing w:before="1"/>
              <w:ind w:left="42"/>
              <w:rPr>
                <w:rFonts w:ascii="Times New Roman" w:eastAsia="Arial" w:hAnsi="Times New Roman" w:cs="Times New Roman"/>
                <w:sz w:val="11"/>
                <w:szCs w:val="11"/>
              </w:rPr>
            </w:pPr>
            <w:r w:rsidRPr="00B12A32">
              <w:rPr>
                <w:rFonts w:ascii="Times New Roman" w:hAnsi="Times New Roman" w:cs="Times New Roman"/>
                <w:w w:val="105"/>
                <w:sz w:val="11"/>
              </w:rPr>
              <w:t>volcano-</w:t>
            </w:r>
          </w:p>
        </w:tc>
        <w:tc>
          <w:tcPr>
            <w:tcW w:w="424" w:type="dxa"/>
            <w:tcBorders>
              <w:top w:val="nil"/>
              <w:left w:val="nil"/>
              <w:bottom w:val="nil"/>
              <w:right w:val="nil"/>
            </w:tcBorders>
          </w:tcPr>
          <w:p w:rsidR="00540C0B" w:rsidRPr="00B12A32" w:rsidRDefault="00540C0B" w:rsidP="00AE1B03">
            <w:pPr>
              <w:pStyle w:val="TableParagraph"/>
              <w:spacing w:before="1"/>
              <w:ind w:left="5"/>
              <w:jc w:val="center"/>
              <w:rPr>
                <w:rFonts w:ascii="Times New Roman" w:eastAsia="Arial" w:hAnsi="Times New Roman" w:cs="Times New Roman"/>
                <w:sz w:val="11"/>
                <w:szCs w:val="11"/>
              </w:rPr>
            </w:pPr>
            <w:r w:rsidRPr="00B12A32">
              <w:rPr>
                <w:rFonts w:ascii="Times New Roman" w:hAnsi="Times New Roman" w:cs="Times New Roman"/>
                <w:w w:val="102"/>
                <w:sz w:val="11"/>
              </w:rPr>
              <w:t>7</w:t>
            </w:r>
          </w:p>
        </w:tc>
        <w:tc>
          <w:tcPr>
            <w:tcW w:w="356" w:type="dxa"/>
            <w:tcBorders>
              <w:top w:val="nil"/>
              <w:left w:val="nil"/>
              <w:bottom w:val="nil"/>
              <w:right w:val="nil"/>
            </w:tcBorders>
          </w:tcPr>
          <w:p w:rsidR="00540C0B" w:rsidRPr="00B12A32" w:rsidRDefault="00540C0B" w:rsidP="00AE1B03">
            <w:pPr>
              <w:pStyle w:val="TableParagraph"/>
              <w:spacing w:before="1"/>
              <w:ind w:left="105"/>
              <w:rPr>
                <w:rFonts w:ascii="Times New Roman" w:eastAsia="Arial" w:hAnsi="Times New Roman" w:cs="Times New Roman"/>
                <w:sz w:val="11"/>
                <w:szCs w:val="11"/>
              </w:rPr>
            </w:pPr>
            <w:r w:rsidRPr="00B12A32">
              <w:rPr>
                <w:rFonts w:ascii="Times New Roman" w:hAnsi="Times New Roman" w:cs="Times New Roman"/>
                <w:w w:val="105"/>
                <w:sz w:val="11"/>
              </w:rPr>
              <w:t>CA</w:t>
            </w:r>
          </w:p>
        </w:tc>
        <w:tc>
          <w:tcPr>
            <w:tcW w:w="444" w:type="dxa"/>
            <w:vMerge/>
            <w:tcBorders>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glass</w:t>
            </w:r>
            <w:r w:rsidRPr="00B12A32">
              <w:rPr>
                <w:rFonts w:ascii="Times New Roman" w:hAnsi="Times New Roman" w:cs="Times New Roman"/>
                <w:spacing w:val="-13"/>
                <w:w w:val="105"/>
                <w:sz w:val="11"/>
              </w:rPr>
              <w:t xml:space="preserve"> </w:t>
            </w:r>
            <w:r w:rsidRPr="00B12A32">
              <w:rPr>
                <w:rFonts w:ascii="Times New Roman" w:hAnsi="Times New Roman" w:cs="Times New Roman"/>
                <w:w w:val="105"/>
                <w:sz w:val="11"/>
              </w:rPr>
              <w:t>sh.</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68,60</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0,23</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13,41</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0,72</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0,92</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0,03</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0,60</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1,85</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2,96</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3,06</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0,12</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7,55</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100,05</w:t>
            </w: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244</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115</w:t>
            </w: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tcBorders>
              <w:left w:val="nil"/>
              <w:right w:val="nil"/>
            </w:tcBorders>
          </w:tcPr>
          <w:p w:rsidR="00540C0B" w:rsidRPr="00B12A32" w:rsidRDefault="00540C0B" w:rsidP="00AE1B03">
            <w:pPr>
              <w:rPr>
                <w:rFonts w:ascii="Times New Roman" w:hAnsi="Times New Roman" w:cs="Times New Roman"/>
              </w:rPr>
            </w:pPr>
          </w:p>
        </w:tc>
        <w:tc>
          <w:tcPr>
            <w:tcW w:w="297" w:type="dxa"/>
            <w:vMerge/>
            <w:tcBorders>
              <w:left w:val="nil"/>
              <w:right w:val="nil"/>
            </w:tcBorders>
          </w:tcPr>
          <w:p w:rsidR="00540C0B" w:rsidRPr="00B12A32" w:rsidRDefault="00540C0B" w:rsidP="00AE1B03">
            <w:pPr>
              <w:rPr>
                <w:rFonts w:ascii="Times New Roman" w:hAnsi="Times New Roman" w:cs="Times New Roman"/>
              </w:rPr>
            </w:pPr>
          </w:p>
        </w:tc>
        <w:tc>
          <w:tcPr>
            <w:tcW w:w="293"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8" w:type="dxa"/>
            <w:vMerge/>
            <w:tcBorders>
              <w:left w:val="nil"/>
              <w:right w:val="nil"/>
            </w:tcBorders>
          </w:tcPr>
          <w:p w:rsidR="00540C0B" w:rsidRPr="00B12A32" w:rsidRDefault="00540C0B" w:rsidP="00AE1B03">
            <w:pPr>
              <w:rPr>
                <w:rFonts w:ascii="Times New Roman" w:hAnsi="Times New Roman" w:cs="Times New Roman"/>
              </w:rPr>
            </w:pPr>
          </w:p>
        </w:tc>
        <w:tc>
          <w:tcPr>
            <w:tcW w:w="289" w:type="dxa"/>
            <w:vMerge/>
            <w:tcBorders>
              <w:left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pStyle w:val="TableParagraph"/>
              <w:spacing w:before="1"/>
              <w:ind w:left="99"/>
              <w:rPr>
                <w:rFonts w:ascii="Times New Roman" w:eastAsia="Arial" w:hAnsi="Times New Roman" w:cs="Times New Roman"/>
                <w:sz w:val="11"/>
                <w:szCs w:val="11"/>
              </w:rPr>
            </w:pPr>
            <w:r w:rsidRPr="00B12A32">
              <w:rPr>
                <w:rFonts w:ascii="Times New Roman" w:hAnsi="Times New Roman" w:cs="Times New Roman"/>
                <w:w w:val="105"/>
                <w:sz w:val="11"/>
              </w:rPr>
              <w:t>clastic</w:t>
            </w:r>
          </w:p>
        </w:tc>
        <w:tc>
          <w:tcPr>
            <w:tcW w:w="424" w:type="dxa"/>
            <w:tcBorders>
              <w:top w:val="nil"/>
              <w:left w:val="nil"/>
              <w:bottom w:val="nil"/>
              <w:right w:val="nil"/>
            </w:tcBorders>
          </w:tcPr>
          <w:p w:rsidR="00540C0B" w:rsidRPr="00B12A32" w:rsidRDefault="00540C0B" w:rsidP="00AE1B03">
            <w:pPr>
              <w:pStyle w:val="TableParagraph"/>
              <w:spacing w:before="1"/>
              <w:ind w:left="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biotite</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41,44</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3,32</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16,05</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5,04</w:t>
            </w:r>
          </w:p>
        </w:tc>
        <w:tc>
          <w:tcPr>
            <w:tcW w:w="331" w:type="dxa"/>
            <w:tcBorders>
              <w:top w:val="nil"/>
              <w:left w:val="nil"/>
              <w:bottom w:val="nil"/>
              <w:right w:val="nil"/>
            </w:tcBorders>
          </w:tcPr>
          <w:p w:rsidR="00540C0B" w:rsidRPr="00B12A32" w:rsidRDefault="00540C0B" w:rsidP="00AE1B03">
            <w:pPr>
              <w:pStyle w:val="TableParagraph"/>
              <w:spacing w:before="1"/>
              <w:ind w:left="22"/>
              <w:rPr>
                <w:rFonts w:ascii="Times New Roman" w:eastAsia="Arial" w:hAnsi="Times New Roman" w:cs="Times New Roman"/>
                <w:sz w:val="11"/>
                <w:szCs w:val="11"/>
              </w:rPr>
            </w:pPr>
            <w:r w:rsidRPr="00B12A32">
              <w:rPr>
                <w:rFonts w:ascii="Times New Roman" w:hAnsi="Times New Roman" w:cs="Times New Roman"/>
                <w:w w:val="105"/>
                <w:sz w:val="11"/>
              </w:rPr>
              <w:t>11,82</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0,17</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9,43</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0,40</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0,73</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7,50</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0,07</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3,86</w:t>
            </w:r>
          </w:p>
        </w:tc>
        <w:tc>
          <w:tcPr>
            <w:tcW w:w="424" w:type="dxa"/>
            <w:tcBorders>
              <w:top w:val="nil"/>
              <w:left w:val="nil"/>
              <w:bottom w:val="nil"/>
              <w:right w:val="nil"/>
            </w:tcBorders>
          </w:tcPr>
          <w:p w:rsidR="00540C0B" w:rsidRPr="00B12A32" w:rsidRDefault="00540C0B" w:rsidP="00AE1B03">
            <w:pPr>
              <w:pStyle w:val="TableParagraph"/>
              <w:spacing w:before="1"/>
              <w:ind w:left="75"/>
              <w:rPr>
                <w:rFonts w:ascii="Times New Roman" w:eastAsia="Arial" w:hAnsi="Times New Roman" w:cs="Times New Roman"/>
                <w:sz w:val="11"/>
                <w:szCs w:val="11"/>
              </w:rPr>
            </w:pPr>
            <w:r w:rsidRPr="00B12A32">
              <w:rPr>
                <w:rFonts w:ascii="Times New Roman" w:hAnsi="Times New Roman" w:cs="Times New Roman"/>
                <w:w w:val="105"/>
                <w:sz w:val="11"/>
              </w:rPr>
              <w:t>99,83</w:t>
            </w: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672</w:t>
            </w:r>
          </w:p>
        </w:tc>
        <w:tc>
          <w:tcPr>
            <w:tcW w:w="379" w:type="dxa"/>
            <w:tcBorders>
              <w:top w:val="nil"/>
              <w:left w:val="nil"/>
              <w:bottom w:val="nil"/>
              <w:right w:val="nil"/>
            </w:tcBorders>
          </w:tcPr>
          <w:p w:rsidR="00540C0B" w:rsidRPr="00B12A32" w:rsidRDefault="00540C0B" w:rsidP="00AE1B03">
            <w:pPr>
              <w:pStyle w:val="TableParagraph"/>
              <w:spacing w:before="1"/>
              <w:ind w:right="45"/>
              <w:jc w:val="center"/>
              <w:rPr>
                <w:rFonts w:ascii="Times New Roman" w:eastAsia="Arial" w:hAnsi="Times New Roman" w:cs="Times New Roman"/>
                <w:sz w:val="11"/>
                <w:szCs w:val="11"/>
              </w:rPr>
            </w:pPr>
            <w:r w:rsidRPr="00B12A32">
              <w:rPr>
                <w:rFonts w:ascii="Times New Roman" w:hAnsi="Times New Roman" w:cs="Times New Roman"/>
                <w:w w:val="102"/>
                <w:sz w:val="11"/>
              </w:rPr>
              <w:t>9</w:t>
            </w: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tcBorders>
              <w:left w:val="nil"/>
              <w:right w:val="nil"/>
            </w:tcBorders>
          </w:tcPr>
          <w:p w:rsidR="00540C0B" w:rsidRPr="00B12A32" w:rsidRDefault="00540C0B" w:rsidP="00AE1B03">
            <w:pPr>
              <w:rPr>
                <w:rFonts w:ascii="Times New Roman" w:hAnsi="Times New Roman" w:cs="Times New Roman"/>
              </w:rPr>
            </w:pPr>
          </w:p>
        </w:tc>
        <w:tc>
          <w:tcPr>
            <w:tcW w:w="297" w:type="dxa"/>
            <w:vMerge/>
            <w:tcBorders>
              <w:left w:val="nil"/>
              <w:right w:val="nil"/>
            </w:tcBorders>
          </w:tcPr>
          <w:p w:rsidR="00540C0B" w:rsidRPr="00B12A32" w:rsidRDefault="00540C0B" w:rsidP="00AE1B03">
            <w:pPr>
              <w:rPr>
                <w:rFonts w:ascii="Times New Roman" w:hAnsi="Times New Roman" w:cs="Times New Roman"/>
              </w:rPr>
            </w:pPr>
          </w:p>
        </w:tc>
        <w:tc>
          <w:tcPr>
            <w:tcW w:w="293"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8" w:type="dxa"/>
            <w:vMerge/>
            <w:tcBorders>
              <w:left w:val="nil"/>
              <w:right w:val="nil"/>
            </w:tcBorders>
          </w:tcPr>
          <w:p w:rsidR="00540C0B" w:rsidRPr="00B12A32" w:rsidRDefault="00540C0B" w:rsidP="00AE1B03">
            <w:pPr>
              <w:rPr>
                <w:rFonts w:ascii="Times New Roman" w:hAnsi="Times New Roman" w:cs="Times New Roman"/>
              </w:rPr>
            </w:pPr>
          </w:p>
        </w:tc>
        <w:tc>
          <w:tcPr>
            <w:tcW w:w="289" w:type="dxa"/>
            <w:vMerge/>
            <w:tcBorders>
              <w:left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sz w:val="11"/>
              </w:rPr>
              <w:t>Monte</w:t>
            </w:r>
            <w:r w:rsidRPr="00B12A32">
              <w:rPr>
                <w:rFonts w:ascii="Times New Roman" w:hAnsi="Times New Roman" w:cs="Times New Roman"/>
                <w:spacing w:val="11"/>
                <w:sz w:val="11"/>
              </w:rPr>
              <w:t xml:space="preserve"> </w:t>
            </w:r>
            <w:r w:rsidRPr="00B12A32">
              <w:rPr>
                <w:rFonts w:ascii="Times New Roman" w:hAnsi="Times New Roman" w:cs="Times New Roman"/>
                <w:sz w:val="11"/>
              </w:rPr>
              <w:t>Ugliarella</w:t>
            </w: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2"/>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biotite</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38,15</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3,56</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15,75</w:t>
            </w:r>
          </w:p>
        </w:tc>
        <w:tc>
          <w:tcPr>
            <w:tcW w:w="385" w:type="dxa"/>
            <w:tcBorders>
              <w:top w:val="nil"/>
              <w:left w:val="nil"/>
              <w:bottom w:val="nil"/>
              <w:right w:val="nil"/>
            </w:tcBorders>
          </w:tcPr>
          <w:p w:rsidR="00540C0B" w:rsidRPr="00B12A32" w:rsidRDefault="00540C0B" w:rsidP="00AE1B03">
            <w:pPr>
              <w:pStyle w:val="TableParagraph"/>
              <w:spacing w:before="1"/>
              <w:ind w:left="50"/>
              <w:rPr>
                <w:rFonts w:ascii="Times New Roman" w:eastAsia="Arial" w:hAnsi="Times New Roman" w:cs="Times New Roman"/>
                <w:sz w:val="11"/>
                <w:szCs w:val="11"/>
              </w:rPr>
            </w:pPr>
            <w:r w:rsidRPr="00B12A32">
              <w:rPr>
                <w:rFonts w:ascii="Times New Roman" w:hAnsi="Times New Roman" w:cs="Times New Roman"/>
                <w:w w:val="105"/>
                <w:sz w:val="11"/>
              </w:rPr>
              <w:t>11,01</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7,09</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0,14</w:t>
            </w:r>
          </w:p>
        </w:tc>
        <w:tc>
          <w:tcPr>
            <w:tcW w:w="350" w:type="dxa"/>
            <w:tcBorders>
              <w:top w:val="nil"/>
              <w:left w:val="nil"/>
              <w:bottom w:val="nil"/>
              <w:right w:val="nil"/>
            </w:tcBorders>
          </w:tcPr>
          <w:p w:rsidR="00540C0B" w:rsidRPr="00B12A32" w:rsidRDefault="00540C0B" w:rsidP="00AE1B03">
            <w:pPr>
              <w:pStyle w:val="TableParagraph"/>
              <w:spacing w:before="1"/>
              <w:ind w:left="30"/>
              <w:rPr>
                <w:rFonts w:ascii="Times New Roman" w:eastAsia="Arial" w:hAnsi="Times New Roman" w:cs="Times New Roman"/>
                <w:sz w:val="11"/>
                <w:szCs w:val="11"/>
              </w:rPr>
            </w:pPr>
            <w:r w:rsidRPr="00B12A32">
              <w:rPr>
                <w:rFonts w:ascii="Times New Roman" w:hAnsi="Times New Roman" w:cs="Times New Roman"/>
                <w:w w:val="105"/>
                <w:sz w:val="11"/>
              </w:rPr>
              <w:t>10,54</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0,41</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0,25</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7,30</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5,86</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100,06</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tcBorders>
              <w:left w:val="nil"/>
              <w:right w:val="nil"/>
            </w:tcBorders>
          </w:tcPr>
          <w:p w:rsidR="00540C0B" w:rsidRPr="00B12A32" w:rsidRDefault="00540C0B" w:rsidP="00AE1B03">
            <w:pPr>
              <w:rPr>
                <w:rFonts w:ascii="Times New Roman" w:hAnsi="Times New Roman" w:cs="Times New Roman"/>
              </w:rPr>
            </w:pPr>
          </w:p>
        </w:tc>
        <w:tc>
          <w:tcPr>
            <w:tcW w:w="297" w:type="dxa"/>
            <w:vMerge/>
            <w:tcBorders>
              <w:left w:val="nil"/>
              <w:right w:val="nil"/>
            </w:tcBorders>
          </w:tcPr>
          <w:p w:rsidR="00540C0B" w:rsidRPr="00B12A32" w:rsidRDefault="00540C0B" w:rsidP="00AE1B03">
            <w:pPr>
              <w:rPr>
                <w:rFonts w:ascii="Times New Roman" w:hAnsi="Times New Roman" w:cs="Times New Roman"/>
              </w:rPr>
            </w:pPr>
          </w:p>
        </w:tc>
        <w:tc>
          <w:tcPr>
            <w:tcW w:w="293"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8" w:type="dxa"/>
            <w:vMerge/>
            <w:tcBorders>
              <w:left w:val="nil"/>
              <w:right w:val="nil"/>
            </w:tcBorders>
          </w:tcPr>
          <w:p w:rsidR="00540C0B" w:rsidRPr="00B12A32" w:rsidRDefault="00540C0B" w:rsidP="00AE1B03">
            <w:pPr>
              <w:rPr>
                <w:rFonts w:ascii="Times New Roman" w:hAnsi="Times New Roman" w:cs="Times New Roman"/>
              </w:rPr>
            </w:pPr>
          </w:p>
        </w:tc>
        <w:tc>
          <w:tcPr>
            <w:tcW w:w="289" w:type="dxa"/>
            <w:vMerge/>
            <w:tcBorders>
              <w:left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20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w w:val="105"/>
                <w:sz w:val="11"/>
              </w:rPr>
              <w:t>Case</w:t>
            </w:r>
            <w:r w:rsidRPr="00B12A32">
              <w:rPr>
                <w:rFonts w:ascii="Times New Roman" w:hAnsi="Times New Roman" w:cs="Times New Roman"/>
                <w:spacing w:val="-22"/>
                <w:w w:val="105"/>
                <w:sz w:val="11"/>
              </w:rPr>
              <w:t xml:space="preserve"> </w:t>
            </w:r>
            <w:r w:rsidRPr="00B12A32">
              <w:rPr>
                <w:rFonts w:ascii="Times New Roman" w:hAnsi="Times New Roman" w:cs="Times New Roman"/>
                <w:w w:val="105"/>
                <w:sz w:val="11"/>
              </w:rPr>
              <w:t>Biticchie</w:t>
            </w: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rhyolite</w:t>
            </w: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5"/>
              <w:jc w:val="center"/>
              <w:rPr>
                <w:rFonts w:ascii="Times New Roman" w:eastAsia="Arial" w:hAnsi="Times New Roman" w:cs="Times New Roman"/>
                <w:sz w:val="11"/>
                <w:szCs w:val="11"/>
              </w:rPr>
            </w:pPr>
            <w:r w:rsidRPr="00B12A32">
              <w:rPr>
                <w:rFonts w:ascii="Times New Roman" w:hAnsi="Times New Roman" w:cs="Times New Roman"/>
                <w:w w:val="105"/>
                <w:sz w:val="11"/>
              </w:rPr>
              <w:t>14</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glass</w:t>
            </w:r>
            <w:r w:rsidRPr="00B12A32">
              <w:rPr>
                <w:rFonts w:ascii="Times New Roman" w:hAnsi="Times New Roman" w:cs="Times New Roman"/>
                <w:spacing w:val="-13"/>
                <w:w w:val="105"/>
                <w:sz w:val="11"/>
              </w:rPr>
              <w:t xml:space="preserve"> </w:t>
            </w:r>
            <w:r w:rsidRPr="00B12A32">
              <w:rPr>
                <w:rFonts w:ascii="Times New Roman" w:hAnsi="Times New Roman" w:cs="Times New Roman"/>
                <w:w w:val="105"/>
                <w:sz w:val="11"/>
              </w:rPr>
              <w:t>sh.</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70,04</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0,20</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13,34</w:t>
            </w:r>
          </w:p>
        </w:tc>
        <w:tc>
          <w:tcPr>
            <w:tcW w:w="385" w:type="dxa"/>
            <w:tcBorders>
              <w:top w:val="nil"/>
              <w:left w:val="nil"/>
              <w:bottom w:val="nil"/>
              <w:right w:val="nil"/>
            </w:tcBorders>
          </w:tcPr>
          <w:p w:rsidR="00540C0B" w:rsidRPr="00B12A32" w:rsidRDefault="00540C0B" w:rsidP="00AE1B03">
            <w:pPr>
              <w:pStyle w:val="TableParagraph"/>
              <w:spacing w:before="1"/>
              <w:ind w:left="81"/>
              <w:rPr>
                <w:rFonts w:ascii="Times New Roman" w:eastAsia="Arial" w:hAnsi="Times New Roman" w:cs="Times New Roman"/>
                <w:sz w:val="11"/>
                <w:szCs w:val="11"/>
              </w:rPr>
            </w:pPr>
            <w:r w:rsidRPr="00B12A32">
              <w:rPr>
                <w:rFonts w:ascii="Times New Roman" w:hAnsi="Times New Roman" w:cs="Times New Roman"/>
                <w:w w:val="105"/>
                <w:sz w:val="11"/>
              </w:rPr>
              <w:t>0,49</w:t>
            </w: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0,87</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0,05</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0,35</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1,69</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3,11</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2,86</w:t>
            </w:r>
          </w:p>
        </w:tc>
        <w:tc>
          <w:tcPr>
            <w:tcW w:w="347" w:type="dxa"/>
            <w:tcBorders>
              <w:top w:val="nil"/>
              <w:left w:val="nil"/>
              <w:bottom w:val="nil"/>
              <w:right w:val="nil"/>
            </w:tcBorders>
          </w:tcPr>
          <w:p w:rsidR="00540C0B" w:rsidRPr="00B12A32" w:rsidRDefault="00540C0B" w:rsidP="00AE1B03">
            <w:pPr>
              <w:pStyle w:val="TableParagraph"/>
              <w:spacing w:before="1"/>
              <w:ind w:left="70"/>
              <w:rPr>
                <w:rFonts w:ascii="Times New Roman" w:eastAsia="Arial" w:hAnsi="Times New Roman" w:cs="Times New Roman"/>
                <w:sz w:val="11"/>
                <w:szCs w:val="11"/>
              </w:rPr>
            </w:pPr>
            <w:r w:rsidRPr="00B12A32">
              <w:rPr>
                <w:rFonts w:ascii="Times New Roman" w:hAnsi="Times New Roman" w:cs="Times New Roman"/>
                <w:w w:val="105"/>
                <w:sz w:val="11"/>
              </w:rPr>
              <w:t>0,14</w:t>
            </w:r>
          </w:p>
        </w:tc>
        <w:tc>
          <w:tcPr>
            <w:tcW w:w="349" w:type="dxa"/>
            <w:tcBorders>
              <w:top w:val="nil"/>
              <w:left w:val="nil"/>
              <w:bottom w:val="nil"/>
              <w:right w:val="nil"/>
            </w:tcBorders>
          </w:tcPr>
          <w:p w:rsidR="00540C0B" w:rsidRPr="00B12A32" w:rsidRDefault="00540C0B" w:rsidP="00AE1B03">
            <w:pPr>
              <w:pStyle w:val="TableParagraph"/>
              <w:spacing w:before="1"/>
              <w:ind w:left="55"/>
              <w:rPr>
                <w:rFonts w:ascii="Times New Roman" w:eastAsia="Arial" w:hAnsi="Times New Roman" w:cs="Times New Roman"/>
                <w:sz w:val="11"/>
                <w:szCs w:val="11"/>
              </w:rPr>
            </w:pPr>
            <w:r w:rsidRPr="00B12A32">
              <w:rPr>
                <w:rFonts w:ascii="Times New Roman" w:hAnsi="Times New Roman" w:cs="Times New Roman"/>
                <w:w w:val="105"/>
                <w:sz w:val="11"/>
              </w:rPr>
              <w:t>6,87</w:t>
            </w: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100,00</w:t>
            </w:r>
          </w:p>
        </w:tc>
        <w:tc>
          <w:tcPr>
            <w:tcW w:w="343" w:type="dxa"/>
            <w:tcBorders>
              <w:top w:val="nil"/>
              <w:left w:val="nil"/>
              <w:bottom w:val="nil"/>
              <w:right w:val="nil"/>
            </w:tcBorders>
          </w:tcPr>
          <w:p w:rsidR="00540C0B" w:rsidRPr="00B12A32" w:rsidRDefault="00540C0B" w:rsidP="00AE1B03">
            <w:pPr>
              <w:pStyle w:val="TableParagraph"/>
              <w:spacing w:before="1"/>
              <w:ind w:left="84"/>
              <w:rPr>
                <w:rFonts w:ascii="Times New Roman" w:eastAsia="Arial" w:hAnsi="Times New Roman" w:cs="Times New Roman"/>
                <w:sz w:val="11"/>
                <w:szCs w:val="11"/>
              </w:rPr>
            </w:pPr>
            <w:r w:rsidRPr="00B12A32">
              <w:rPr>
                <w:rFonts w:ascii="Times New Roman" w:hAnsi="Times New Roman" w:cs="Times New Roman"/>
                <w:w w:val="105"/>
                <w:sz w:val="11"/>
              </w:rPr>
              <w:t>251</w:t>
            </w:r>
          </w:p>
        </w:tc>
        <w:tc>
          <w:tcPr>
            <w:tcW w:w="379" w:type="dxa"/>
            <w:tcBorders>
              <w:top w:val="nil"/>
              <w:left w:val="nil"/>
              <w:bottom w:val="nil"/>
              <w:right w:val="nil"/>
            </w:tcBorders>
          </w:tcPr>
          <w:p w:rsidR="00540C0B" w:rsidRPr="00B12A32" w:rsidRDefault="00540C0B" w:rsidP="00AE1B03">
            <w:pPr>
              <w:pStyle w:val="TableParagraph"/>
              <w:spacing w:before="1"/>
              <w:ind w:left="71"/>
              <w:rPr>
                <w:rFonts w:ascii="Times New Roman" w:eastAsia="Arial" w:hAnsi="Times New Roman" w:cs="Times New Roman"/>
                <w:sz w:val="11"/>
                <w:szCs w:val="11"/>
              </w:rPr>
            </w:pPr>
            <w:r w:rsidRPr="00B12A32">
              <w:rPr>
                <w:rFonts w:ascii="Times New Roman" w:hAnsi="Times New Roman" w:cs="Times New Roman"/>
                <w:w w:val="105"/>
                <w:sz w:val="11"/>
              </w:rPr>
              <w:t>140</w:t>
            </w: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tcBorders>
              <w:left w:val="nil"/>
              <w:right w:val="nil"/>
            </w:tcBorders>
          </w:tcPr>
          <w:p w:rsidR="00540C0B" w:rsidRPr="00B12A32" w:rsidRDefault="00540C0B" w:rsidP="00AE1B03">
            <w:pPr>
              <w:rPr>
                <w:rFonts w:ascii="Times New Roman" w:hAnsi="Times New Roman" w:cs="Times New Roman"/>
              </w:rPr>
            </w:pPr>
          </w:p>
        </w:tc>
        <w:tc>
          <w:tcPr>
            <w:tcW w:w="297" w:type="dxa"/>
            <w:vMerge/>
            <w:tcBorders>
              <w:left w:val="nil"/>
              <w:right w:val="nil"/>
            </w:tcBorders>
          </w:tcPr>
          <w:p w:rsidR="00540C0B" w:rsidRPr="00B12A32" w:rsidRDefault="00540C0B" w:rsidP="00AE1B03">
            <w:pPr>
              <w:rPr>
                <w:rFonts w:ascii="Times New Roman" w:hAnsi="Times New Roman" w:cs="Times New Roman"/>
              </w:rPr>
            </w:pPr>
          </w:p>
        </w:tc>
        <w:tc>
          <w:tcPr>
            <w:tcW w:w="293"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8" w:type="dxa"/>
            <w:vMerge/>
            <w:tcBorders>
              <w:left w:val="nil"/>
              <w:right w:val="nil"/>
            </w:tcBorders>
          </w:tcPr>
          <w:p w:rsidR="00540C0B" w:rsidRPr="00B12A32" w:rsidRDefault="00540C0B" w:rsidP="00AE1B03">
            <w:pPr>
              <w:rPr>
                <w:rFonts w:ascii="Times New Roman" w:hAnsi="Times New Roman" w:cs="Times New Roman"/>
              </w:rPr>
            </w:pPr>
          </w:p>
        </w:tc>
        <w:tc>
          <w:tcPr>
            <w:tcW w:w="289" w:type="dxa"/>
            <w:vMerge/>
            <w:tcBorders>
              <w:left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209"/>
        </w:trPr>
        <w:tc>
          <w:tcPr>
            <w:tcW w:w="591" w:type="dxa"/>
            <w:tcBorders>
              <w:top w:val="nil"/>
              <w:left w:val="single" w:sz="4" w:space="0" w:color="000000"/>
              <w:bottom w:val="nil"/>
              <w:right w:val="nil"/>
            </w:tcBorders>
          </w:tcPr>
          <w:p w:rsidR="00540C0B" w:rsidRPr="00B12A32" w:rsidRDefault="00540C0B" w:rsidP="00AE1B03">
            <w:pPr>
              <w:pStyle w:val="TableParagraph"/>
              <w:spacing w:before="71"/>
              <w:ind w:left="21"/>
              <w:rPr>
                <w:rFonts w:ascii="Times New Roman" w:eastAsia="Arial" w:hAnsi="Times New Roman" w:cs="Times New Roman"/>
                <w:sz w:val="11"/>
                <w:szCs w:val="11"/>
              </w:rPr>
            </w:pPr>
            <w:r w:rsidRPr="00B12A32">
              <w:rPr>
                <w:rFonts w:ascii="Times New Roman" w:hAnsi="Times New Roman" w:cs="Times New Roman"/>
                <w:w w:val="105"/>
                <w:sz w:val="11"/>
              </w:rPr>
              <w:t>late</w:t>
            </w:r>
            <w:r w:rsidRPr="00B12A32">
              <w:rPr>
                <w:rFonts w:ascii="Times New Roman" w:hAnsi="Times New Roman" w:cs="Times New Roman"/>
                <w:spacing w:val="-18"/>
                <w:w w:val="105"/>
                <w:sz w:val="11"/>
              </w:rPr>
              <w:t xml:space="preserve"> </w:t>
            </w:r>
            <w:r w:rsidRPr="00B12A32">
              <w:rPr>
                <w:rFonts w:ascii="Times New Roman" w:hAnsi="Times New Roman" w:cs="Times New Roman"/>
                <w:w w:val="105"/>
                <w:sz w:val="11"/>
              </w:rPr>
              <w:t>Mioce</w:t>
            </w:r>
          </w:p>
        </w:tc>
        <w:tc>
          <w:tcPr>
            <w:tcW w:w="905" w:type="dxa"/>
            <w:tcBorders>
              <w:top w:val="nil"/>
              <w:left w:val="nil"/>
              <w:bottom w:val="nil"/>
              <w:right w:val="nil"/>
            </w:tcBorders>
          </w:tcPr>
          <w:p w:rsidR="00540C0B" w:rsidRPr="00B12A32" w:rsidRDefault="00540C0B" w:rsidP="00AE1B03">
            <w:pPr>
              <w:pStyle w:val="TableParagraph"/>
              <w:spacing w:before="71"/>
              <w:ind w:left="1"/>
              <w:rPr>
                <w:rFonts w:ascii="Times New Roman" w:eastAsia="Arial" w:hAnsi="Times New Roman" w:cs="Times New Roman"/>
                <w:sz w:val="11"/>
                <w:szCs w:val="11"/>
              </w:rPr>
            </w:pPr>
            <w:r w:rsidRPr="00B12A32">
              <w:rPr>
                <w:rFonts w:ascii="Times New Roman" w:hAnsi="Times New Roman" w:cs="Times New Roman"/>
                <w:sz w:val="11"/>
              </w:rPr>
              <w:t>North</w:t>
            </w:r>
            <w:r w:rsidRPr="00B12A32">
              <w:rPr>
                <w:rFonts w:ascii="Times New Roman" w:hAnsi="Times New Roman" w:cs="Times New Roman"/>
                <w:spacing w:val="15"/>
                <w:sz w:val="11"/>
              </w:rPr>
              <w:t xml:space="preserve"> </w:t>
            </w:r>
            <w:r w:rsidRPr="00B12A32">
              <w:rPr>
                <w:rFonts w:ascii="Times New Roman" w:hAnsi="Times New Roman" w:cs="Times New Roman"/>
                <w:sz w:val="11"/>
              </w:rPr>
              <w:t>Apennines</w:t>
            </w:r>
          </w:p>
        </w:tc>
        <w:tc>
          <w:tcPr>
            <w:tcW w:w="33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9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vMerge w:val="restart"/>
            <w:tcBorders>
              <w:top w:val="nil"/>
              <w:left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tcBorders>
              <w:left w:val="nil"/>
              <w:right w:val="nil"/>
            </w:tcBorders>
          </w:tcPr>
          <w:p w:rsidR="00540C0B" w:rsidRPr="00B12A32" w:rsidRDefault="00540C0B" w:rsidP="00AE1B03">
            <w:pPr>
              <w:rPr>
                <w:rFonts w:ascii="Times New Roman" w:hAnsi="Times New Roman" w:cs="Times New Roman"/>
              </w:rPr>
            </w:pPr>
          </w:p>
        </w:tc>
        <w:tc>
          <w:tcPr>
            <w:tcW w:w="297" w:type="dxa"/>
            <w:vMerge/>
            <w:tcBorders>
              <w:left w:val="nil"/>
              <w:right w:val="nil"/>
            </w:tcBorders>
          </w:tcPr>
          <w:p w:rsidR="00540C0B" w:rsidRPr="00B12A32" w:rsidRDefault="00540C0B" w:rsidP="00AE1B03">
            <w:pPr>
              <w:rPr>
                <w:rFonts w:ascii="Times New Roman" w:hAnsi="Times New Roman" w:cs="Times New Roman"/>
              </w:rPr>
            </w:pPr>
          </w:p>
        </w:tc>
        <w:tc>
          <w:tcPr>
            <w:tcW w:w="293"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8" w:type="dxa"/>
            <w:vMerge/>
            <w:tcBorders>
              <w:left w:val="nil"/>
              <w:right w:val="nil"/>
            </w:tcBorders>
          </w:tcPr>
          <w:p w:rsidR="00540C0B" w:rsidRPr="00B12A32" w:rsidRDefault="00540C0B" w:rsidP="00AE1B03">
            <w:pPr>
              <w:rPr>
                <w:rFonts w:ascii="Times New Roman" w:hAnsi="Times New Roman" w:cs="Times New Roman"/>
              </w:rPr>
            </w:pPr>
          </w:p>
        </w:tc>
        <w:tc>
          <w:tcPr>
            <w:tcW w:w="289" w:type="dxa"/>
            <w:vMerge/>
            <w:tcBorders>
              <w:left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pStyle w:val="TableParagraph"/>
              <w:spacing w:before="1"/>
              <w:ind w:left="1"/>
              <w:rPr>
                <w:rFonts w:ascii="Times New Roman" w:eastAsia="Arial" w:hAnsi="Times New Roman" w:cs="Times New Roman"/>
                <w:sz w:val="11"/>
                <w:szCs w:val="11"/>
              </w:rPr>
            </w:pPr>
            <w:r w:rsidRPr="00B12A32">
              <w:rPr>
                <w:rFonts w:ascii="Times New Roman" w:hAnsi="Times New Roman" w:cs="Times New Roman"/>
                <w:sz w:val="11"/>
              </w:rPr>
              <w:t>Laga</w:t>
            </w:r>
            <w:r w:rsidRPr="00B12A32">
              <w:rPr>
                <w:rFonts w:ascii="Times New Roman" w:hAnsi="Times New Roman" w:cs="Times New Roman"/>
                <w:spacing w:val="12"/>
                <w:sz w:val="11"/>
              </w:rPr>
              <w:t xml:space="preserve"> </w:t>
            </w:r>
            <w:r w:rsidRPr="00B12A32">
              <w:rPr>
                <w:rFonts w:ascii="Times New Roman" w:hAnsi="Times New Roman" w:cs="Times New Roman"/>
                <w:sz w:val="11"/>
              </w:rPr>
              <w:t>Formation</w:t>
            </w:r>
          </w:p>
        </w:tc>
        <w:tc>
          <w:tcPr>
            <w:tcW w:w="330" w:type="dxa"/>
            <w:tcBorders>
              <w:top w:val="nil"/>
              <w:left w:val="nil"/>
              <w:bottom w:val="nil"/>
              <w:right w:val="nil"/>
            </w:tcBorders>
          </w:tcPr>
          <w:p w:rsidR="00540C0B" w:rsidRPr="00B12A32" w:rsidRDefault="00540C0B" w:rsidP="00AE1B03">
            <w:pPr>
              <w:pStyle w:val="TableParagraph"/>
              <w:spacing w:before="1"/>
              <w:ind w:left="49"/>
              <w:rPr>
                <w:rFonts w:ascii="Times New Roman" w:eastAsia="Arial" w:hAnsi="Times New Roman" w:cs="Times New Roman"/>
                <w:sz w:val="11"/>
                <w:szCs w:val="11"/>
              </w:rPr>
            </w:pPr>
            <w:r w:rsidRPr="00B12A32">
              <w:rPr>
                <w:rFonts w:ascii="Times New Roman" w:hAnsi="Times New Roman" w:cs="Times New Roman"/>
                <w:w w:val="105"/>
                <w:sz w:val="11"/>
              </w:rPr>
              <w:t>29a</w:t>
            </w:r>
          </w:p>
        </w:tc>
        <w:tc>
          <w:tcPr>
            <w:tcW w:w="393" w:type="dxa"/>
            <w:tcBorders>
              <w:top w:val="nil"/>
              <w:left w:val="nil"/>
              <w:bottom w:val="nil"/>
              <w:right w:val="nil"/>
            </w:tcBorders>
          </w:tcPr>
          <w:p w:rsidR="00540C0B" w:rsidRPr="00B12A32" w:rsidRDefault="00540C0B" w:rsidP="00AE1B03">
            <w:pPr>
              <w:pStyle w:val="TableParagraph"/>
              <w:spacing w:before="1"/>
              <w:ind w:left="146"/>
              <w:rPr>
                <w:rFonts w:ascii="Times New Roman" w:eastAsia="Arial" w:hAnsi="Times New Roman" w:cs="Times New Roman"/>
                <w:sz w:val="11"/>
                <w:szCs w:val="11"/>
              </w:rPr>
            </w:pPr>
            <w:r w:rsidRPr="00B12A32">
              <w:rPr>
                <w:rFonts w:ascii="Times New Roman" w:hAnsi="Times New Roman" w:cs="Times New Roman"/>
                <w:w w:val="105"/>
                <w:sz w:val="11"/>
              </w:rPr>
              <w:t>12</w:t>
            </w:r>
          </w:p>
        </w:tc>
        <w:tc>
          <w:tcPr>
            <w:tcW w:w="691" w:type="dxa"/>
            <w:tcBorders>
              <w:top w:val="nil"/>
              <w:left w:val="nil"/>
              <w:bottom w:val="nil"/>
              <w:right w:val="nil"/>
            </w:tcBorders>
          </w:tcPr>
          <w:p w:rsidR="00540C0B" w:rsidRPr="00B12A32" w:rsidRDefault="00540C0B" w:rsidP="00AE1B03">
            <w:pPr>
              <w:pStyle w:val="TableParagraph"/>
              <w:spacing w:before="1"/>
              <w:ind w:left="5"/>
              <w:rPr>
                <w:rFonts w:ascii="Times New Roman" w:eastAsia="Arial" w:hAnsi="Times New Roman" w:cs="Times New Roman"/>
                <w:sz w:val="11"/>
                <w:szCs w:val="11"/>
              </w:rPr>
            </w:pPr>
            <w:r w:rsidRPr="00B12A32">
              <w:rPr>
                <w:rFonts w:ascii="Times New Roman" w:hAnsi="Times New Roman" w:cs="Times New Roman"/>
                <w:w w:val="105"/>
                <w:sz w:val="11"/>
              </w:rPr>
              <w:t>rhyolite</w:t>
            </w:r>
          </w:p>
        </w:tc>
        <w:tc>
          <w:tcPr>
            <w:tcW w:w="524" w:type="dxa"/>
            <w:tcBorders>
              <w:top w:val="nil"/>
              <w:left w:val="nil"/>
              <w:bottom w:val="nil"/>
              <w:right w:val="nil"/>
            </w:tcBorders>
          </w:tcPr>
          <w:p w:rsidR="00540C0B" w:rsidRPr="00B12A32" w:rsidRDefault="00540C0B" w:rsidP="00AE1B03">
            <w:pPr>
              <w:pStyle w:val="TableParagraph"/>
              <w:spacing w:before="1"/>
              <w:ind w:left="42"/>
              <w:rPr>
                <w:rFonts w:ascii="Times New Roman" w:eastAsia="Arial" w:hAnsi="Times New Roman" w:cs="Times New Roman"/>
                <w:sz w:val="11"/>
                <w:szCs w:val="11"/>
              </w:rPr>
            </w:pPr>
            <w:r w:rsidRPr="00B12A32">
              <w:rPr>
                <w:rFonts w:ascii="Times New Roman" w:hAnsi="Times New Roman" w:cs="Times New Roman"/>
                <w:w w:val="105"/>
                <w:sz w:val="11"/>
              </w:rPr>
              <w:t>volcano-</w:t>
            </w:r>
          </w:p>
        </w:tc>
        <w:tc>
          <w:tcPr>
            <w:tcW w:w="424" w:type="dxa"/>
            <w:tcBorders>
              <w:top w:val="nil"/>
              <w:left w:val="nil"/>
              <w:bottom w:val="nil"/>
              <w:right w:val="nil"/>
            </w:tcBorders>
          </w:tcPr>
          <w:p w:rsidR="00540C0B" w:rsidRPr="00B12A32" w:rsidRDefault="00540C0B" w:rsidP="00AE1B03">
            <w:pPr>
              <w:pStyle w:val="TableParagraph"/>
              <w:spacing w:before="1"/>
              <w:ind w:left="101"/>
              <w:rPr>
                <w:rFonts w:ascii="Times New Roman" w:eastAsia="Arial" w:hAnsi="Times New Roman" w:cs="Times New Roman"/>
                <w:sz w:val="11"/>
                <w:szCs w:val="11"/>
              </w:rPr>
            </w:pPr>
            <w:r w:rsidRPr="00B12A32">
              <w:rPr>
                <w:rFonts w:ascii="Times New Roman" w:hAnsi="Times New Roman" w:cs="Times New Roman"/>
                <w:w w:val="105"/>
                <w:sz w:val="11"/>
              </w:rPr>
              <w:t>F3/9</w:t>
            </w:r>
          </w:p>
        </w:tc>
        <w:tc>
          <w:tcPr>
            <w:tcW w:w="356" w:type="dxa"/>
            <w:tcBorders>
              <w:top w:val="nil"/>
              <w:left w:val="nil"/>
              <w:bottom w:val="nil"/>
              <w:right w:val="nil"/>
            </w:tcBorders>
          </w:tcPr>
          <w:p w:rsidR="00540C0B" w:rsidRPr="00B12A32" w:rsidRDefault="00540C0B" w:rsidP="00AE1B03">
            <w:pPr>
              <w:pStyle w:val="TableParagraph"/>
              <w:spacing w:before="1"/>
              <w:ind w:left="105"/>
              <w:rPr>
                <w:rFonts w:ascii="Times New Roman" w:eastAsia="Arial" w:hAnsi="Times New Roman" w:cs="Times New Roman"/>
                <w:sz w:val="11"/>
                <w:szCs w:val="11"/>
              </w:rPr>
            </w:pPr>
            <w:r w:rsidRPr="00B12A32">
              <w:rPr>
                <w:rFonts w:ascii="Times New Roman" w:hAnsi="Times New Roman" w:cs="Times New Roman"/>
                <w:w w:val="105"/>
                <w:sz w:val="11"/>
              </w:rPr>
              <w:t>CA</w:t>
            </w:r>
          </w:p>
        </w:tc>
        <w:tc>
          <w:tcPr>
            <w:tcW w:w="444" w:type="dxa"/>
            <w:vMerge/>
            <w:tcBorders>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glass</w:t>
            </w:r>
            <w:r w:rsidRPr="00B12A32">
              <w:rPr>
                <w:rFonts w:ascii="Times New Roman" w:hAnsi="Times New Roman" w:cs="Times New Roman"/>
                <w:spacing w:val="-13"/>
                <w:w w:val="105"/>
                <w:sz w:val="11"/>
              </w:rPr>
              <w:t xml:space="preserve"> </w:t>
            </w:r>
            <w:r w:rsidRPr="00B12A32">
              <w:rPr>
                <w:rFonts w:ascii="Times New Roman" w:hAnsi="Times New Roman" w:cs="Times New Roman"/>
                <w:w w:val="105"/>
                <w:sz w:val="11"/>
              </w:rPr>
              <w:t>sh.</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70,84</w:t>
            </w:r>
          </w:p>
        </w:tc>
        <w:tc>
          <w:tcPr>
            <w:tcW w:w="296"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0,13</w:t>
            </w: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13,69</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1,18</w:t>
            </w:r>
          </w:p>
        </w:tc>
        <w:tc>
          <w:tcPr>
            <w:tcW w:w="302" w:type="dxa"/>
            <w:tcBorders>
              <w:top w:val="nil"/>
              <w:left w:val="nil"/>
              <w:bottom w:val="nil"/>
              <w:right w:val="nil"/>
            </w:tcBorders>
          </w:tcPr>
          <w:p w:rsidR="00540C0B" w:rsidRPr="00B12A32" w:rsidRDefault="00540C0B" w:rsidP="00AE1B03">
            <w:pPr>
              <w:pStyle w:val="TableParagraph"/>
              <w:spacing w:before="1"/>
              <w:ind w:left="39"/>
              <w:rPr>
                <w:rFonts w:ascii="Times New Roman" w:eastAsia="Arial" w:hAnsi="Times New Roman" w:cs="Times New Roman"/>
                <w:sz w:val="11"/>
                <w:szCs w:val="11"/>
              </w:rPr>
            </w:pPr>
            <w:r w:rsidRPr="00B12A32">
              <w:rPr>
                <w:rFonts w:ascii="Times New Roman" w:hAnsi="Times New Roman" w:cs="Times New Roman"/>
                <w:w w:val="105"/>
                <w:sz w:val="11"/>
              </w:rPr>
              <w:t>0,04</w:t>
            </w:r>
          </w:p>
        </w:tc>
        <w:tc>
          <w:tcPr>
            <w:tcW w:w="350"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0,14</w:t>
            </w: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0,96</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2,17</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2,48</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75"/>
              <w:rPr>
                <w:rFonts w:ascii="Times New Roman" w:eastAsia="Arial" w:hAnsi="Times New Roman" w:cs="Times New Roman"/>
                <w:sz w:val="11"/>
                <w:szCs w:val="11"/>
              </w:rPr>
            </w:pPr>
            <w:r w:rsidRPr="00B12A32">
              <w:rPr>
                <w:rFonts w:ascii="Times New Roman" w:hAnsi="Times New Roman" w:cs="Times New Roman"/>
                <w:w w:val="105"/>
                <w:sz w:val="11"/>
              </w:rPr>
              <w:t>91,36</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tcBorders>
              <w:left w:val="nil"/>
              <w:right w:val="nil"/>
            </w:tcBorders>
          </w:tcPr>
          <w:p w:rsidR="00540C0B" w:rsidRPr="00B12A32" w:rsidRDefault="00540C0B" w:rsidP="00AE1B03">
            <w:pPr>
              <w:rPr>
                <w:rFonts w:ascii="Times New Roman" w:hAnsi="Times New Roman" w:cs="Times New Roman"/>
              </w:rPr>
            </w:pPr>
          </w:p>
        </w:tc>
        <w:tc>
          <w:tcPr>
            <w:tcW w:w="297" w:type="dxa"/>
            <w:vMerge/>
            <w:tcBorders>
              <w:left w:val="nil"/>
              <w:right w:val="nil"/>
            </w:tcBorders>
          </w:tcPr>
          <w:p w:rsidR="00540C0B" w:rsidRPr="00B12A32" w:rsidRDefault="00540C0B" w:rsidP="00AE1B03">
            <w:pPr>
              <w:rPr>
                <w:rFonts w:ascii="Times New Roman" w:hAnsi="Times New Roman" w:cs="Times New Roman"/>
              </w:rPr>
            </w:pPr>
          </w:p>
        </w:tc>
        <w:tc>
          <w:tcPr>
            <w:tcW w:w="293"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8" w:type="dxa"/>
            <w:vMerge/>
            <w:tcBorders>
              <w:left w:val="nil"/>
              <w:right w:val="nil"/>
            </w:tcBorders>
          </w:tcPr>
          <w:p w:rsidR="00540C0B" w:rsidRPr="00B12A32" w:rsidRDefault="00540C0B" w:rsidP="00AE1B03">
            <w:pPr>
              <w:rPr>
                <w:rFonts w:ascii="Times New Roman" w:hAnsi="Times New Roman" w:cs="Times New Roman"/>
              </w:rPr>
            </w:pPr>
          </w:p>
        </w:tc>
        <w:tc>
          <w:tcPr>
            <w:tcW w:w="289" w:type="dxa"/>
            <w:vMerge/>
            <w:tcBorders>
              <w:left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9"/>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pStyle w:val="TableParagraph"/>
              <w:spacing w:before="1"/>
              <w:ind w:left="99"/>
              <w:rPr>
                <w:rFonts w:ascii="Times New Roman" w:eastAsia="Arial" w:hAnsi="Times New Roman" w:cs="Times New Roman"/>
                <w:sz w:val="11"/>
                <w:szCs w:val="11"/>
              </w:rPr>
            </w:pPr>
            <w:r w:rsidRPr="00B12A32">
              <w:rPr>
                <w:rFonts w:ascii="Times New Roman" w:hAnsi="Times New Roman" w:cs="Times New Roman"/>
                <w:w w:val="105"/>
                <w:sz w:val="11"/>
              </w:rPr>
              <w:t>clastic</w:t>
            </w:r>
          </w:p>
        </w:tc>
        <w:tc>
          <w:tcPr>
            <w:tcW w:w="424" w:type="dxa"/>
            <w:tcBorders>
              <w:top w:val="nil"/>
              <w:left w:val="nil"/>
              <w:bottom w:val="nil"/>
              <w:right w:val="nil"/>
            </w:tcBorders>
          </w:tcPr>
          <w:p w:rsidR="00540C0B" w:rsidRPr="00B12A32" w:rsidRDefault="00540C0B" w:rsidP="00AE1B03">
            <w:pPr>
              <w:pStyle w:val="TableParagraph"/>
              <w:spacing w:before="1"/>
              <w:ind w:left="101"/>
              <w:rPr>
                <w:rFonts w:ascii="Times New Roman" w:eastAsia="Arial" w:hAnsi="Times New Roman" w:cs="Times New Roman"/>
                <w:sz w:val="11"/>
                <w:szCs w:val="11"/>
              </w:rPr>
            </w:pPr>
            <w:r w:rsidRPr="00B12A32">
              <w:rPr>
                <w:rFonts w:ascii="Times New Roman" w:hAnsi="Times New Roman" w:cs="Times New Roman"/>
                <w:w w:val="105"/>
                <w:sz w:val="11"/>
              </w:rPr>
              <w:t>F3/3</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w w:val="105"/>
                <w:sz w:val="11"/>
              </w:rPr>
              <w:t>andesine</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61,50</w:t>
            </w: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24,58</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0,12</w:t>
            </w: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pStyle w:val="TableParagraph"/>
              <w:spacing w:before="1"/>
              <w:ind w:left="69"/>
              <w:rPr>
                <w:rFonts w:ascii="Times New Roman" w:eastAsia="Arial" w:hAnsi="Times New Roman" w:cs="Times New Roman"/>
                <w:sz w:val="11"/>
                <w:szCs w:val="11"/>
              </w:rPr>
            </w:pPr>
            <w:r w:rsidRPr="00B12A32">
              <w:rPr>
                <w:rFonts w:ascii="Times New Roman" w:hAnsi="Times New Roman" w:cs="Times New Roman"/>
                <w:w w:val="105"/>
                <w:sz w:val="11"/>
              </w:rPr>
              <w:t>7,29</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7,26</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0,78</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pStyle w:val="TableParagraph"/>
              <w:spacing w:before="1"/>
              <w:ind w:left="44"/>
              <w:rPr>
                <w:rFonts w:ascii="Times New Roman" w:eastAsia="Arial" w:hAnsi="Times New Roman" w:cs="Times New Roman"/>
                <w:sz w:val="11"/>
                <w:szCs w:val="11"/>
              </w:rPr>
            </w:pPr>
            <w:r w:rsidRPr="00B12A32">
              <w:rPr>
                <w:rFonts w:ascii="Times New Roman" w:hAnsi="Times New Roman" w:cs="Times New Roman"/>
                <w:w w:val="105"/>
                <w:sz w:val="11"/>
              </w:rPr>
              <w:t>101,53</w:t>
            </w: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tcBorders>
              <w:left w:val="nil"/>
              <w:right w:val="nil"/>
            </w:tcBorders>
          </w:tcPr>
          <w:p w:rsidR="00540C0B" w:rsidRPr="00B12A32" w:rsidRDefault="00540C0B" w:rsidP="00AE1B03">
            <w:pPr>
              <w:rPr>
                <w:rFonts w:ascii="Times New Roman" w:hAnsi="Times New Roman" w:cs="Times New Roman"/>
              </w:rPr>
            </w:pPr>
          </w:p>
        </w:tc>
        <w:tc>
          <w:tcPr>
            <w:tcW w:w="297" w:type="dxa"/>
            <w:vMerge/>
            <w:tcBorders>
              <w:left w:val="nil"/>
              <w:right w:val="nil"/>
            </w:tcBorders>
          </w:tcPr>
          <w:p w:rsidR="00540C0B" w:rsidRPr="00B12A32" w:rsidRDefault="00540C0B" w:rsidP="00AE1B03">
            <w:pPr>
              <w:rPr>
                <w:rFonts w:ascii="Times New Roman" w:hAnsi="Times New Roman" w:cs="Times New Roman"/>
              </w:rPr>
            </w:pPr>
          </w:p>
        </w:tc>
        <w:tc>
          <w:tcPr>
            <w:tcW w:w="293"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9" w:type="dxa"/>
            <w:vMerge/>
            <w:tcBorders>
              <w:left w:val="nil"/>
              <w:right w:val="nil"/>
            </w:tcBorders>
          </w:tcPr>
          <w:p w:rsidR="00540C0B" w:rsidRPr="00B12A32" w:rsidRDefault="00540C0B" w:rsidP="00AE1B03">
            <w:pPr>
              <w:rPr>
                <w:rFonts w:ascii="Times New Roman" w:hAnsi="Times New Roman" w:cs="Times New Roman"/>
              </w:rPr>
            </w:pPr>
          </w:p>
        </w:tc>
        <w:tc>
          <w:tcPr>
            <w:tcW w:w="298" w:type="dxa"/>
            <w:vMerge/>
            <w:tcBorders>
              <w:left w:val="nil"/>
              <w:right w:val="nil"/>
            </w:tcBorders>
          </w:tcPr>
          <w:p w:rsidR="00540C0B" w:rsidRPr="00B12A32" w:rsidRDefault="00540C0B" w:rsidP="00AE1B03">
            <w:pPr>
              <w:rPr>
                <w:rFonts w:ascii="Times New Roman" w:hAnsi="Times New Roman" w:cs="Times New Roman"/>
              </w:rPr>
            </w:pPr>
          </w:p>
        </w:tc>
        <w:tc>
          <w:tcPr>
            <w:tcW w:w="289" w:type="dxa"/>
            <w:vMerge/>
            <w:tcBorders>
              <w:left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r w:rsidR="00540C0B" w:rsidRPr="00B12A32" w:rsidTr="00AE1B03">
        <w:trPr>
          <w:trHeight w:hRule="exact" w:val="136"/>
        </w:trPr>
        <w:tc>
          <w:tcPr>
            <w:tcW w:w="591" w:type="dxa"/>
            <w:tcBorders>
              <w:top w:val="nil"/>
              <w:left w:val="single" w:sz="4" w:space="0" w:color="000000"/>
              <w:bottom w:val="nil"/>
              <w:right w:val="nil"/>
            </w:tcBorders>
          </w:tcPr>
          <w:p w:rsidR="00540C0B" w:rsidRPr="00B12A32" w:rsidRDefault="00540C0B" w:rsidP="00AE1B03">
            <w:pPr>
              <w:rPr>
                <w:rFonts w:ascii="Times New Roman" w:hAnsi="Times New Roman" w:cs="Times New Roman"/>
              </w:rPr>
            </w:pPr>
          </w:p>
        </w:tc>
        <w:tc>
          <w:tcPr>
            <w:tcW w:w="90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0" w:type="dxa"/>
            <w:tcBorders>
              <w:top w:val="nil"/>
              <w:left w:val="nil"/>
              <w:bottom w:val="nil"/>
              <w:right w:val="nil"/>
            </w:tcBorders>
          </w:tcPr>
          <w:p w:rsidR="00540C0B" w:rsidRPr="00B12A32" w:rsidRDefault="00540C0B" w:rsidP="00AE1B03">
            <w:pPr>
              <w:pStyle w:val="TableParagraph"/>
              <w:spacing w:before="1"/>
              <w:ind w:right="44"/>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393" w:type="dxa"/>
            <w:tcBorders>
              <w:top w:val="nil"/>
              <w:left w:val="nil"/>
              <w:bottom w:val="nil"/>
              <w:right w:val="nil"/>
            </w:tcBorders>
          </w:tcPr>
          <w:p w:rsidR="00540C0B" w:rsidRPr="00B12A32" w:rsidRDefault="00540C0B" w:rsidP="00AE1B03">
            <w:pPr>
              <w:pStyle w:val="TableParagraph"/>
              <w:spacing w:before="1"/>
              <w:ind w:left="26"/>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69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24" w:type="dxa"/>
            <w:tcBorders>
              <w:top w:val="nil"/>
              <w:left w:val="nil"/>
              <w:bottom w:val="nil"/>
              <w:right w:val="nil"/>
            </w:tcBorders>
          </w:tcPr>
          <w:p w:rsidR="00540C0B" w:rsidRPr="00B12A32" w:rsidRDefault="00540C0B" w:rsidP="00AE1B03">
            <w:pPr>
              <w:pStyle w:val="TableParagraph"/>
              <w:spacing w:before="1"/>
              <w:ind w:right="8"/>
              <w:jc w:val="center"/>
              <w:rPr>
                <w:rFonts w:ascii="Times New Roman" w:eastAsia="Arial" w:hAnsi="Times New Roman" w:cs="Times New Roman"/>
                <w:sz w:val="11"/>
                <w:szCs w:val="11"/>
              </w:rPr>
            </w:pPr>
            <w:r w:rsidRPr="00B12A32">
              <w:rPr>
                <w:rFonts w:ascii="Times New Roman" w:hAnsi="Times New Roman" w:cs="Times New Roman"/>
                <w:w w:val="102"/>
                <w:sz w:val="11"/>
              </w:rPr>
              <w:t>"</w:t>
            </w:r>
          </w:p>
        </w:tc>
        <w:tc>
          <w:tcPr>
            <w:tcW w:w="424" w:type="dxa"/>
            <w:tcBorders>
              <w:top w:val="nil"/>
              <w:left w:val="nil"/>
              <w:bottom w:val="nil"/>
              <w:right w:val="nil"/>
            </w:tcBorders>
          </w:tcPr>
          <w:p w:rsidR="00540C0B" w:rsidRPr="00B12A32" w:rsidRDefault="00540C0B" w:rsidP="00AE1B03">
            <w:pPr>
              <w:pStyle w:val="TableParagraph"/>
              <w:spacing w:before="1"/>
              <w:ind w:left="101"/>
              <w:rPr>
                <w:rFonts w:ascii="Times New Roman" w:eastAsia="Arial" w:hAnsi="Times New Roman" w:cs="Times New Roman"/>
                <w:sz w:val="11"/>
                <w:szCs w:val="11"/>
              </w:rPr>
            </w:pPr>
            <w:r w:rsidRPr="00B12A32">
              <w:rPr>
                <w:rFonts w:ascii="Times New Roman" w:hAnsi="Times New Roman" w:cs="Times New Roman"/>
                <w:w w:val="105"/>
                <w:sz w:val="11"/>
              </w:rPr>
              <w:t>F3/1</w:t>
            </w:r>
          </w:p>
        </w:tc>
        <w:tc>
          <w:tcPr>
            <w:tcW w:w="35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4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562" w:type="dxa"/>
            <w:tcBorders>
              <w:top w:val="nil"/>
              <w:left w:val="nil"/>
              <w:bottom w:val="nil"/>
              <w:right w:val="nil"/>
            </w:tcBorders>
          </w:tcPr>
          <w:p w:rsidR="00540C0B" w:rsidRPr="00B12A32" w:rsidRDefault="00540C0B" w:rsidP="00AE1B03">
            <w:pPr>
              <w:pStyle w:val="TableParagraph"/>
              <w:spacing w:before="1"/>
              <w:ind w:left="13"/>
              <w:rPr>
                <w:rFonts w:ascii="Times New Roman" w:eastAsia="Arial" w:hAnsi="Times New Roman" w:cs="Times New Roman"/>
                <w:sz w:val="11"/>
                <w:szCs w:val="11"/>
              </w:rPr>
            </w:pPr>
            <w:r w:rsidRPr="00B12A32">
              <w:rPr>
                <w:rFonts w:ascii="Times New Roman" w:hAnsi="Times New Roman" w:cs="Times New Roman"/>
                <w:sz w:val="11"/>
              </w:rPr>
              <w:t>labradorite</w:t>
            </w:r>
          </w:p>
        </w:tc>
        <w:tc>
          <w:tcPr>
            <w:tcW w:w="337" w:type="dxa"/>
            <w:tcBorders>
              <w:top w:val="nil"/>
              <w:left w:val="nil"/>
              <w:bottom w:val="nil"/>
              <w:right w:val="nil"/>
            </w:tcBorders>
          </w:tcPr>
          <w:p w:rsidR="00540C0B" w:rsidRPr="00B12A32" w:rsidRDefault="00540C0B" w:rsidP="00AE1B03">
            <w:pPr>
              <w:pStyle w:val="TableParagraph"/>
              <w:spacing w:before="1"/>
              <w:ind w:left="27"/>
              <w:rPr>
                <w:rFonts w:ascii="Times New Roman" w:eastAsia="Arial" w:hAnsi="Times New Roman" w:cs="Times New Roman"/>
                <w:sz w:val="11"/>
                <w:szCs w:val="11"/>
              </w:rPr>
            </w:pPr>
            <w:r w:rsidRPr="00B12A32">
              <w:rPr>
                <w:rFonts w:ascii="Times New Roman" w:hAnsi="Times New Roman" w:cs="Times New Roman"/>
                <w:w w:val="105"/>
                <w:sz w:val="11"/>
              </w:rPr>
              <w:t>54,75</w:t>
            </w: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3" w:type="dxa"/>
            <w:tcBorders>
              <w:top w:val="nil"/>
              <w:left w:val="nil"/>
              <w:bottom w:val="nil"/>
              <w:right w:val="nil"/>
            </w:tcBorders>
          </w:tcPr>
          <w:p w:rsidR="00540C0B" w:rsidRPr="00B12A32" w:rsidRDefault="00540C0B" w:rsidP="00AE1B03">
            <w:pPr>
              <w:pStyle w:val="TableParagraph"/>
              <w:spacing w:before="1"/>
              <w:ind w:left="40"/>
              <w:rPr>
                <w:rFonts w:ascii="Times New Roman" w:eastAsia="Arial" w:hAnsi="Times New Roman" w:cs="Times New Roman"/>
                <w:sz w:val="11"/>
                <w:szCs w:val="11"/>
              </w:rPr>
            </w:pPr>
            <w:r w:rsidRPr="00B12A32">
              <w:rPr>
                <w:rFonts w:ascii="Times New Roman" w:hAnsi="Times New Roman" w:cs="Times New Roman"/>
                <w:w w:val="105"/>
                <w:sz w:val="11"/>
              </w:rPr>
              <w:t>27,21</w:t>
            </w:r>
          </w:p>
        </w:tc>
        <w:tc>
          <w:tcPr>
            <w:tcW w:w="38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31" w:type="dxa"/>
            <w:tcBorders>
              <w:top w:val="nil"/>
              <w:left w:val="nil"/>
              <w:bottom w:val="nil"/>
              <w:right w:val="nil"/>
            </w:tcBorders>
          </w:tcPr>
          <w:p w:rsidR="00540C0B" w:rsidRPr="00B12A32" w:rsidRDefault="00540C0B" w:rsidP="00AE1B03">
            <w:pPr>
              <w:pStyle w:val="TableParagraph"/>
              <w:spacing w:before="1"/>
              <w:ind w:left="53"/>
              <w:rPr>
                <w:rFonts w:ascii="Times New Roman" w:eastAsia="Arial" w:hAnsi="Times New Roman" w:cs="Times New Roman"/>
                <w:sz w:val="11"/>
                <w:szCs w:val="11"/>
              </w:rPr>
            </w:pPr>
            <w:r w:rsidRPr="00B12A32">
              <w:rPr>
                <w:rFonts w:ascii="Times New Roman" w:hAnsi="Times New Roman" w:cs="Times New Roman"/>
                <w:w w:val="105"/>
                <w:sz w:val="11"/>
              </w:rPr>
              <w:t>0,18</w:t>
            </w:r>
          </w:p>
        </w:tc>
        <w:tc>
          <w:tcPr>
            <w:tcW w:w="302"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50"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pStyle w:val="TableParagraph"/>
              <w:spacing w:before="1"/>
              <w:ind w:left="38"/>
              <w:rPr>
                <w:rFonts w:ascii="Times New Roman" w:eastAsia="Arial" w:hAnsi="Times New Roman" w:cs="Times New Roman"/>
                <w:sz w:val="11"/>
                <w:szCs w:val="11"/>
              </w:rPr>
            </w:pPr>
            <w:r w:rsidRPr="00B12A32">
              <w:rPr>
                <w:rFonts w:ascii="Times New Roman" w:hAnsi="Times New Roman" w:cs="Times New Roman"/>
                <w:w w:val="105"/>
                <w:sz w:val="11"/>
              </w:rPr>
              <w:t>11,39</w:t>
            </w:r>
          </w:p>
        </w:tc>
        <w:tc>
          <w:tcPr>
            <w:tcW w:w="346" w:type="dxa"/>
            <w:tcBorders>
              <w:top w:val="nil"/>
              <w:left w:val="nil"/>
              <w:bottom w:val="nil"/>
              <w:right w:val="nil"/>
            </w:tcBorders>
          </w:tcPr>
          <w:p w:rsidR="00540C0B" w:rsidRPr="00B12A32" w:rsidRDefault="00540C0B" w:rsidP="00AE1B03">
            <w:pPr>
              <w:pStyle w:val="TableParagraph"/>
              <w:spacing w:before="1"/>
              <w:ind w:left="60"/>
              <w:rPr>
                <w:rFonts w:ascii="Times New Roman" w:eastAsia="Arial" w:hAnsi="Times New Roman" w:cs="Times New Roman"/>
                <w:sz w:val="11"/>
                <w:szCs w:val="11"/>
              </w:rPr>
            </w:pPr>
            <w:r w:rsidRPr="00B12A32">
              <w:rPr>
                <w:rFonts w:ascii="Times New Roman" w:hAnsi="Times New Roman" w:cs="Times New Roman"/>
                <w:w w:val="105"/>
                <w:sz w:val="11"/>
              </w:rPr>
              <w:t>5,14</w:t>
            </w:r>
          </w:p>
        </w:tc>
        <w:tc>
          <w:tcPr>
            <w:tcW w:w="346" w:type="dxa"/>
            <w:tcBorders>
              <w:top w:val="nil"/>
              <w:left w:val="nil"/>
              <w:bottom w:val="nil"/>
              <w:right w:val="nil"/>
            </w:tcBorders>
          </w:tcPr>
          <w:p w:rsidR="00540C0B" w:rsidRPr="00B12A32" w:rsidRDefault="00540C0B" w:rsidP="00AE1B03">
            <w:pPr>
              <w:pStyle w:val="TableParagraph"/>
              <w:spacing w:before="1"/>
              <w:ind w:left="61"/>
              <w:rPr>
                <w:rFonts w:ascii="Times New Roman" w:eastAsia="Arial" w:hAnsi="Times New Roman" w:cs="Times New Roman"/>
                <w:sz w:val="11"/>
                <w:szCs w:val="11"/>
              </w:rPr>
            </w:pPr>
            <w:r w:rsidRPr="00B12A32">
              <w:rPr>
                <w:rFonts w:ascii="Times New Roman" w:hAnsi="Times New Roman" w:cs="Times New Roman"/>
                <w:w w:val="105"/>
                <w:sz w:val="11"/>
              </w:rPr>
              <w:t>0,35</w:t>
            </w:r>
          </w:p>
        </w:tc>
        <w:tc>
          <w:tcPr>
            <w:tcW w:w="347"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424"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3"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79"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7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25"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296"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41" w:type="dxa"/>
            <w:tcBorders>
              <w:top w:val="nil"/>
              <w:left w:val="nil"/>
              <w:bottom w:val="nil"/>
              <w:right w:val="nil"/>
            </w:tcBorders>
          </w:tcPr>
          <w:p w:rsidR="00540C0B" w:rsidRPr="00B12A32" w:rsidRDefault="00540C0B" w:rsidP="00AE1B03">
            <w:pPr>
              <w:rPr>
                <w:rFonts w:ascii="Times New Roman" w:hAnsi="Times New Roman" w:cs="Times New Roman"/>
              </w:rPr>
            </w:pPr>
          </w:p>
        </w:tc>
        <w:tc>
          <w:tcPr>
            <w:tcW w:w="312" w:type="dxa"/>
            <w:vMerge/>
            <w:tcBorders>
              <w:left w:val="nil"/>
              <w:bottom w:val="nil"/>
              <w:right w:val="nil"/>
            </w:tcBorders>
          </w:tcPr>
          <w:p w:rsidR="00540C0B" w:rsidRPr="00B12A32" w:rsidRDefault="00540C0B" w:rsidP="00AE1B03">
            <w:pPr>
              <w:rPr>
                <w:rFonts w:ascii="Times New Roman" w:hAnsi="Times New Roman" w:cs="Times New Roman"/>
              </w:rPr>
            </w:pPr>
          </w:p>
        </w:tc>
        <w:tc>
          <w:tcPr>
            <w:tcW w:w="297" w:type="dxa"/>
            <w:vMerge/>
            <w:tcBorders>
              <w:left w:val="nil"/>
              <w:bottom w:val="nil"/>
              <w:right w:val="nil"/>
            </w:tcBorders>
          </w:tcPr>
          <w:p w:rsidR="00540C0B" w:rsidRPr="00B12A32" w:rsidRDefault="00540C0B" w:rsidP="00AE1B03">
            <w:pPr>
              <w:rPr>
                <w:rFonts w:ascii="Times New Roman" w:hAnsi="Times New Roman" w:cs="Times New Roman"/>
              </w:rPr>
            </w:pPr>
          </w:p>
        </w:tc>
        <w:tc>
          <w:tcPr>
            <w:tcW w:w="293" w:type="dxa"/>
            <w:vMerge/>
            <w:tcBorders>
              <w:left w:val="nil"/>
              <w:bottom w:val="nil"/>
              <w:right w:val="nil"/>
            </w:tcBorders>
          </w:tcPr>
          <w:p w:rsidR="00540C0B" w:rsidRPr="00B12A32" w:rsidRDefault="00540C0B" w:rsidP="00AE1B03">
            <w:pPr>
              <w:rPr>
                <w:rFonts w:ascii="Times New Roman" w:hAnsi="Times New Roman" w:cs="Times New Roman"/>
              </w:rPr>
            </w:pPr>
          </w:p>
        </w:tc>
        <w:tc>
          <w:tcPr>
            <w:tcW w:w="299" w:type="dxa"/>
            <w:vMerge/>
            <w:tcBorders>
              <w:left w:val="nil"/>
              <w:bottom w:val="nil"/>
              <w:right w:val="nil"/>
            </w:tcBorders>
          </w:tcPr>
          <w:p w:rsidR="00540C0B" w:rsidRPr="00B12A32" w:rsidRDefault="00540C0B" w:rsidP="00AE1B03">
            <w:pPr>
              <w:rPr>
                <w:rFonts w:ascii="Times New Roman" w:hAnsi="Times New Roman" w:cs="Times New Roman"/>
              </w:rPr>
            </w:pPr>
          </w:p>
        </w:tc>
        <w:tc>
          <w:tcPr>
            <w:tcW w:w="299" w:type="dxa"/>
            <w:vMerge/>
            <w:tcBorders>
              <w:left w:val="nil"/>
              <w:bottom w:val="nil"/>
              <w:right w:val="nil"/>
            </w:tcBorders>
          </w:tcPr>
          <w:p w:rsidR="00540C0B" w:rsidRPr="00B12A32" w:rsidRDefault="00540C0B" w:rsidP="00AE1B03">
            <w:pPr>
              <w:rPr>
                <w:rFonts w:ascii="Times New Roman" w:hAnsi="Times New Roman" w:cs="Times New Roman"/>
              </w:rPr>
            </w:pPr>
          </w:p>
        </w:tc>
        <w:tc>
          <w:tcPr>
            <w:tcW w:w="298" w:type="dxa"/>
            <w:vMerge/>
            <w:tcBorders>
              <w:left w:val="nil"/>
              <w:bottom w:val="nil"/>
              <w:right w:val="nil"/>
            </w:tcBorders>
          </w:tcPr>
          <w:p w:rsidR="00540C0B" w:rsidRPr="00B12A32" w:rsidRDefault="00540C0B" w:rsidP="00AE1B03">
            <w:pPr>
              <w:rPr>
                <w:rFonts w:ascii="Times New Roman" w:hAnsi="Times New Roman" w:cs="Times New Roman"/>
              </w:rPr>
            </w:pPr>
          </w:p>
        </w:tc>
        <w:tc>
          <w:tcPr>
            <w:tcW w:w="289" w:type="dxa"/>
            <w:vMerge/>
            <w:tcBorders>
              <w:left w:val="nil"/>
              <w:bottom w:val="nil"/>
              <w:right w:val="nil"/>
            </w:tcBorders>
          </w:tcPr>
          <w:p w:rsidR="00540C0B" w:rsidRPr="00B12A32" w:rsidRDefault="00540C0B" w:rsidP="00AE1B03">
            <w:pPr>
              <w:rPr>
                <w:rFonts w:ascii="Times New Roman" w:hAnsi="Times New Roman" w:cs="Times New Roman"/>
              </w:rPr>
            </w:pPr>
          </w:p>
        </w:tc>
        <w:tc>
          <w:tcPr>
            <w:tcW w:w="214" w:type="dxa"/>
            <w:tcBorders>
              <w:top w:val="nil"/>
              <w:left w:val="nil"/>
              <w:bottom w:val="nil"/>
              <w:right w:val="single" w:sz="4" w:space="0" w:color="000000"/>
            </w:tcBorders>
          </w:tcPr>
          <w:p w:rsidR="00540C0B" w:rsidRPr="00B12A32" w:rsidRDefault="00540C0B" w:rsidP="00AE1B03">
            <w:pPr>
              <w:rPr>
                <w:rFonts w:ascii="Times New Roman" w:hAnsi="Times New Roman" w:cs="Times New Roman"/>
              </w:rPr>
            </w:pPr>
          </w:p>
        </w:tc>
      </w:tr>
    </w:tbl>
    <w:p w:rsidR="007B6DBD" w:rsidRDefault="007B6DBD" w:rsidP="0072057D">
      <w:pPr>
        <w:suppressAutoHyphens w:val="0"/>
        <w:autoSpaceDE/>
        <w:spacing w:line="240" w:lineRule="auto"/>
        <w:ind w:left="-1276"/>
        <w:jc w:val="left"/>
        <w:rPr>
          <w:sz w:val="22"/>
          <w:szCs w:val="22"/>
        </w:rPr>
      </w:pPr>
      <w:r>
        <w:rPr>
          <w:sz w:val="22"/>
          <w:szCs w:val="22"/>
        </w:rPr>
        <w:br w:type="page"/>
      </w:r>
    </w:p>
    <w:p w:rsidR="007B6DBD" w:rsidRDefault="007B6DBD" w:rsidP="007B6DBD">
      <w:pPr>
        <w:spacing w:line="240" w:lineRule="auto"/>
        <w:ind w:hanging="284"/>
        <w:rPr>
          <w:sz w:val="22"/>
          <w:szCs w:val="22"/>
        </w:rPr>
      </w:pPr>
    </w:p>
    <w:p w:rsidR="007B6DBD" w:rsidRDefault="007B6DBD" w:rsidP="007B6DBD">
      <w:pPr>
        <w:spacing w:line="240" w:lineRule="auto"/>
        <w:ind w:hanging="284"/>
        <w:rPr>
          <w:b/>
          <w:sz w:val="22"/>
          <w:szCs w:val="22"/>
        </w:rPr>
      </w:pPr>
      <w:r w:rsidRPr="00E93955">
        <w:rPr>
          <w:b/>
          <w:sz w:val="22"/>
          <w:szCs w:val="22"/>
        </w:rPr>
        <w:t>References for the Supplementary Material:</w:t>
      </w:r>
    </w:p>
    <w:p w:rsidR="007B6DBD" w:rsidRDefault="007B6DBD" w:rsidP="007B6DBD">
      <w:pPr>
        <w:spacing w:line="240" w:lineRule="auto"/>
        <w:ind w:hanging="284"/>
        <w:rPr>
          <w:b/>
          <w:sz w:val="22"/>
          <w:szCs w:val="22"/>
        </w:rPr>
      </w:pPr>
    </w:p>
    <w:p w:rsidR="007B6DBD" w:rsidRPr="0002382D" w:rsidRDefault="007B6DBD" w:rsidP="007B6DBD">
      <w:pPr>
        <w:pStyle w:val="Testonormale"/>
        <w:spacing w:line="240" w:lineRule="auto"/>
        <w:ind w:hanging="284"/>
        <w:jc w:val="both"/>
        <w:rPr>
          <w:rFonts w:ascii="Times New Roman" w:hAnsi="Times New Roman" w:cs="Times New Roman"/>
        </w:rPr>
      </w:pPr>
      <w:r w:rsidRPr="0002382D">
        <w:rPr>
          <w:rFonts w:ascii="Times New Roman" w:hAnsi="Times New Roman" w:cs="Times New Roman"/>
        </w:rPr>
        <w:t xml:space="preserve">Amorosi A., Coccioni R., Tateo F., 1994. </w:t>
      </w:r>
      <w:r w:rsidRPr="0002382D">
        <w:rPr>
          <w:rFonts w:ascii="Times New Roman" w:hAnsi="Times New Roman" w:cs="Times New Roman"/>
          <w:lang w:val="en-GB"/>
        </w:rPr>
        <w:t xml:space="preserve">The volcaniclastic bodies in the lower Miocene Bisciaro Formation (Umbria-Marche Apennines, central Italy); in: Miocene stratigraphy of Italy and adjacent regions. </w:t>
      </w:r>
      <w:r w:rsidRPr="0002382D">
        <w:rPr>
          <w:rFonts w:ascii="Times New Roman" w:hAnsi="Times New Roman" w:cs="Times New Roman"/>
        </w:rPr>
        <w:t xml:space="preserve">Giornale di Geologia, 56/1, 33-46. </w:t>
      </w:r>
    </w:p>
    <w:p w:rsidR="007B6DBD" w:rsidRPr="0002382D" w:rsidRDefault="007B6DBD" w:rsidP="007B6DBD">
      <w:pPr>
        <w:pStyle w:val="Testonormale"/>
        <w:spacing w:line="240" w:lineRule="auto"/>
        <w:ind w:hanging="284"/>
        <w:jc w:val="both"/>
        <w:rPr>
          <w:rFonts w:ascii="Times New Roman" w:hAnsi="Times New Roman" w:cs="Times New Roman"/>
        </w:rPr>
      </w:pPr>
      <w:r w:rsidRPr="0002382D">
        <w:rPr>
          <w:rFonts w:ascii="Times New Roman" w:hAnsi="Times New Roman" w:cs="Times New Roman"/>
        </w:rPr>
        <w:t xml:space="preserve">Amorosi A., Ricci Lucchi F., Tateo F., 1995. </w:t>
      </w:r>
      <w:r w:rsidRPr="0002382D">
        <w:rPr>
          <w:rFonts w:ascii="Times New Roman" w:hAnsi="Times New Roman" w:cs="Times New Roman"/>
          <w:lang w:val="en-GB"/>
        </w:rPr>
        <w:t xml:space="preserve">The lower Miocene siliceous zone: a marker in the paleogeographic evolution of the northern Apennines. </w:t>
      </w:r>
      <w:r w:rsidRPr="0002382D">
        <w:rPr>
          <w:rFonts w:ascii="Times New Roman" w:hAnsi="Times New Roman" w:cs="Times New Roman"/>
        </w:rPr>
        <w:t xml:space="preserve">Palaeogeography., Palaeoclimatology, Palaeoecology, 118 (1-2), 131-149. </w:t>
      </w:r>
    </w:p>
    <w:p w:rsidR="007B6DBD" w:rsidRPr="0002382D" w:rsidRDefault="007B6DBD" w:rsidP="007B6DBD">
      <w:pPr>
        <w:pStyle w:val="Testonormale"/>
        <w:spacing w:line="240" w:lineRule="auto"/>
        <w:ind w:hanging="284"/>
        <w:jc w:val="both"/>
        <w:rPr>
          <w:rFonts w:ascii="Times New Roman" w:hAnsi="Times New Roman" w:cs="Times New Roman"/>
        </w:rPr>
      </w:pPr>
      <w:r w:rsidRPr="0002382D">
        <w:rPr>
          <w:rFonts w:ascii="Times New Roman" w:hAnsi="Times New Roman" w:cs="Times New Roman"/>
        </w:rPr>
        <w:t xml:space="preserve">Anelli L., Gorza M., Pieri M., Riva M., 1994. </w:t>
      </w:r>
      <w:r w:rsidRPr="0002382D">
        <w:rPr>
          <w:rFonts w:ascii="Times New Roman" w:hAnsi="Times New Roman" w:cs="Times New Roman"/>
          <w:lang w:val="en-GB"/>
        </w:rPr>
        <w:t xml:space="preserve">Surface well data in the northern Apennines (Italy). </w:t>
      </w:r>
      <w:r w:rsidRPr="0002382D">
        <w:rPr>
          <w:rFonts w:ascii="Times New Roman" w:hAnsi="Times New Roman" w:cs="Times New Roman"/>
          <w:iCs/>
        </w:rPr>
        <w:t>Memorie Societa’ Geologica Italiana,</w:t>
      </w:r>
      <w:r w:rsidRPr="0002382D">
        <w:rPr>
          <w:rFonts w:ascii="Times New Roman" w:hAnsi="Times New Roman" w:cs="Times New Roman"/>
        </w:rPr>
        <w:t xml:space="preserve"> </w:t>
      </w:r>
      <w:r w:rsidRPr="0002382D">
        <w:rPr>
          <w:rFonts w:ascii="Times New Roman" w:hAnsi="Times New Roman" w:cs="Times New Roman"/>
          <w:bCs/>
        </w:rPr>
        <w:t>48</w:t>
      </w:r>
      <w:r w:rsidRPr="0002382D">
        <w:rPr>
          <w:rFonts w:ascii="Times New Roman" w:hAnsi="Times New Roman" w:cs="Times New Roman"/>
        </w:rPr>
        <w:t xml:space="preserve">, 461-471. </w:t>
      </w:r>
    </w:p>
    <w:p w:rsidR="007B6DBD" w:rsidRPr="0002382D" w:rsidRDefault="007B6DBD" w:rsidP="007B6DBD">
      <w:pPr>
        <w:pStyle w:val="Testonormale"/>
        <w:spacing w:line="240" w:lineRule="auto"/>
        <w:ind w:hanging="284"/>
        <w:jc w:val="both"/>
        <w:rPr>
          <w:rFonts w:ascii="Times New Roman" w:hAnsi="Times New Roman" w:cs="Times New Roman"/>
        </w:rPr>
      </w:pPr>
      <w:r w:rsidRPr="0002382D">
        <w:rPr>
          <w:rFonts w:ascii="Times New Roman" w:hAnsi="Times New Roman" w:cs="Times New Roman"/>
        </w:rPr>
        <w:t xml:space="preserve">Argnani A., Marani M., Savelli C., Galassi B., (1995). Migrazione del vulcanismo di arco cenozoico nel contesto geodinamico intraorogenico del Mar Tirreno meridionale: un riesame. Scritti e Documenti dell'Accademia Nazionale delle Scienze, 14: 377-396. </w:t>
      </w:r>
    </w:p>
    <w:p w:rsidR="007B6DBD" w:rsidRPr="00564975" w:rsidRDefault="007B6DBD" w:rsidP="007B6DBD">
      <w:pPr>
        <w:pStyle w:val="Testonormale"/>
        <w:spacing w:line="240" w:lineRule="auto"/>
        <w:ind w:hanging="284"/>
        <w:jc w:val="both"/>
        <w:rPr>
          <w:rFonts w:ascii="Times New Roman" w:hAnsi="Times New Roman" w:cs="Times New Roman"/>
          <w:szCs w:val="22"/>
        </w:rPr>
      </w:pPr>
      <w:r w:rsidRPr="00564975">
        <w:rPr>
          <w:rFonts w:ascii="Times New Roman" w:hAnsi="Times New Roman" w:cs="Times New Roman"/>
          <w:szCs w:val="22"/>
        </w:rPr>
        <w:t>Argnani</w:t>
      </w:r>
      <w:r w:rsidRPr="00564975">
        <w:rPr>
          <w:rFonts w:ascii="Times New Roman" w:hAnsi="Times New Roman" w:cs="Times New Roman"/>
          <w:color w:val="231F20"/>
          <w:szCs w:val="22"/>
        </w:rPr>
        <w:t xml:space="preserve"> A. and</w:t>
      </w:r>
      <w:r w:rsidRPr="00564975">
        <w:rPr>
          <w:rFonts w:ascii="Times New Roman" w:hAnsi="Times New Roman" w:cs="Times New Roman"/>
          <w:szCs w:val="22"/>
        </w:rPr>
        <w:t xml:space="preserve"> C. Savelli </w:t>
      </w:r>
      <w:r w:rsidRPr="00564975">
        <w:rPr>
          <w:rFonts w:ascii="Times New Roman" w:hAnsi="Times New Roman" w:cs="Times New Roman"/>
          <w:smallCaps/>
          <w:szCs w:val="22"/>
        </w:rPr>
        <w:t>(</w:t>
      </w:r>
      <w:r w:rsidRPr="00564975">
        <w:rPr>
          <w:rFonts w:ascii="Times New Roman" w:hAnsi="Times New Roman" w:cs="Times New Roman"/>
          <w:szCs w:val="22"/>
        </w:rPr>
        <w:t xml:space="preserve">1999), Cenozoic volcanism and tectonics in the southern Tyrrhenian sea: space-time distribution and geodynamic significance, </w:t>
      </w:r>
      <w:r w:rsidRPr="00564975">
        <w:rPr>
          <w:rFonts w:ascii="Times New Roman" w:hAnsi="Times New Roman" w:cs="Times New Roman"/>
          <w:i/>
          <w:iCs/>
          <w:szCs w:val="22"/>
        </w:rPr>
        <w:t>J. of Geodynamics</w:t>
      </w:r>
      <w:r w:rsidRPr="00564975">
        <w:rPr>
          <w:rFonts w:ascii="Times New Roman" w:hAnsi="Times New Roman" w:cs="Times New Roman"/>
          <w:szCs w:val="22"/>
        </w:rPr>
        <w:t xml:space="preserve">, </w:t>
      </w:r>
      <w:r w:rsidRPr="00564975">
        <w:rPr>
          <w:rFonts w:ascii="Times New Roman" w:hAnsi="Times New Roman" w:cs="Times New Roman"/>
          <w:bCs/>
          <w:i/>
          <w:szCs w:val="22"/>
        </w:rPr>
        <w:t>27</w:t>
      </w:r>
      <w:r w:rsidRPr="00564975">
        <w:rPr>
          <w:rFonts w:ascii="Times New Roman" w:hAnsi="Times New Roman" w:cs="Times New Roman"/>
          <w:szCs w:val="22"/>
        </w:rPr>
        <w:t>, 409-432.</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Argnani</w:t>
      </w:r>
      <w:r w:rsidRPr="0002382D">
        <w:rPr>
          <w:rFonts w:ascii="Times New Roman" w:hAnsi="Times New Roman" w:cs="Times New Roman"/>
          <w:color w:val="231F20"/>
          <w:szCs w:val="22"/>
          <w:lang w:val="en-GB"/>
        </w:rPr>
        <w:t xml:space="preserve"> A. and</w:t>
      </w:r>
      <w:r w:rsidRPr="0002382D">
        <w:rPr>
          <w:rFonts w:ascii="Times New Roman" w:hAnsi="Times New Roman" w:cs="Times New Roman"/>
          <w:szCs w:val="22"/>
          <w:lang w:val="en-GB"/>
        </w:rPr>
        <w:t xml:space="preserve"> C. Savelli </w:t>
      </w:r>
      <w:r w:rsidRPr="0002382D">
        <w:rPr>
          <w:rFonts w:ascii="Times New Roman" w:hAnsi="Times New Roman" w:cs="Times New Roman"/>
          <w:smallCaps/>
          <w:szCs w:val="22"/>
          <w:lang w:val="en-GB"/>
        </w:rPr>
        <w:t>(200</w:t>
      </w:r>
      <w:r w:rsidRPr="0002382D">
        <w:rPr>
          <w:rFonts w:ascii="Times New Roman" w:hAnsi="Times New Roman" w:cs="Times New Roman"/>
          <w:szCs w:val="22"/>
          <w:lang w:val="en-GB"/>
        </w:rPr>
        <w:t xml:space="preserve">1), Magmatic signature of episodic back-arc rifting in the southern Tyrrhenian Sea, </w:t>
      </w:r>
      <w:r w:rsidRPr="0002382D">
        <w:rPr>
          <w:rFonts w:ascii="Times New Roman" w:hAnsi="Times New Roman" w:cs="Times New Roman"/>
          <w:i/>
          <w:szCs w:val="22"/>
          <w:lang w:val="en-GB"/>
        </w:rPr>
        <w:t>Mem. Mus. natn. Hist. nat., 186</w:t>
      </w:r>
      <w:r w:rsidRPr="0002382D">
        <w:rPr>
          <w:rFonts w:ascii="Times New Roman" w:hAnsi="Times New Roman" w:cs="Times New Roman"/>
          <w:szCs w:val="22"/>
          <w:lang w:val="en-GB"/>
        </w:rPr>
        <w:t xml:space="preserve">, 735-754.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Balogh K., Delle Rose M., Guerrera F., Ravasc-Baranyai L. and F.</w:t>
      </w:r>
      <w:r w:rsidRPr="0002382D">
        <w:rPr>
          <w:rFonts w:ascii="Times New Roman" w:hAnsi="Times New Roman" w:cs="Times New Roman"/>
          <w:bCs/>
          <w:szCs w:val="22"/>
          <w:lang w:val="en-GB"/>
        </w:rPr>
        <w:t xml:space="preserve"> </w:t>
      </w:r>
      <w:r w:rsidRPr="0002382D">
        <w:rPr>
          <w:rFonts w:ascii="Times New Roman" w:hAnsi="Times New Roman" w:cs="Times New Roman"/>
          <w:szCs w:val="22"/>
          <w:lang w:val="en-GB"/>
        </w:rPr>
        <w:t xml:space="preserve">Veneri </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1993), New data concerning the inframiocenic "Bisciaro volcanoclastic event" (Umbria-Marche Apennines) and comparison with similar occurrences, </w:t>
      </w:r>
      <w:r w:rsidRPr="0002382D">
        <w:rPr>
          <w:rFonts w:ascii="Times New Roman" w:hAnsi="Times New Roman" w:cs="Times New Roman"/>
          <w:i/>
          <w:szCs w:val="22"/>
          <w:lang w:val="en-GB"/>
        </w:rPr>
        <w:t>Giornale di Geologia,</w:t>
      </w:r>
      <w:r w:rsidRPr="0002382D">
        <w:rPr>
          <w:rFonts w:ascii="Times New Roman" w:hAnsi="Times New Roman" w:cs="Times New Roman"/>
          <w:i/>
          <w:iCs/>
          <w:szCs w:val="22"/>
          <w:lang w:val="en-GB"/>
        </w:rPr>
        <w:t xml:space="preserve"> </w:t>
      </w:r>
      <w:r w:rsidRPr="0002382D">
        <w:rPr>
          <w:rFonts w:ascii="Times New Roman" w:hAnsi="Times New Roman" w:cs="Times New Roman"/>
          <w:i/>
          <w:szCs w:val="22"/>
          <w:lang w:val="en-GB"/>
        </w:rPr>
        <w:t>55/2</w:t>
      </w:r>
      <w:r w:rsidRPr="0002382D">
        <w:rPr>
          <w:rFonts w:ascii="Times New Roman" w:hAnsi="Times New Roman" w:cs="Times New Roman"/>
          <w:b/>
          <w:bCs/>
          <w:szCs w:val="22"/>
          <w:lang w:val="en-GB"/>
        </w:rPr>
        <w:t xml:space="preserve">, </w:t>
      </w:r>
      <w:r w:rsidRPr="0002382D">
        <w:rPr>
          <w:rFonts w:ascii="Times New Roman" w:hAnsi="Times New Roman" w:cs="Times New Roman"/>
          <w:szCs w:val="22"/>
          <w:lang w:val="en-GB"/>
        </w:rPr>
        <w:t xml:space="preserve">83-104.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Balogh K., Cassola P., Massimo P. and D. Puglisi (2001), Petrographic, geochemical and radiometric data on Tertiary volcano-arenitic beds from the Sicilian Maghrebian chain: volcanic sources and geodynamic implications, </w:t>
      </w:r>
      <w:r w:rsidRPr="0002382D">
        <w:rPr>
          <w:rFonts w:ascii="Times New Roman" w:hAnsi="Times New Roman" w:cs="Times New Roman"/>
          <w:i/>
          <w:szCs w:val="22"/>
          <w:lang w:val="en-GB"/>
        </w:rPr>
        <w:t>Geologica Carpathica, 52/1</w:t>
      </w:r>
      <w:r w:rsidRPr="0002382D">
        <w:rPr>
          <w:rFonts w:ascii="Times New Roman" w:hAnsi="Times New Roman" w:cs="Times New Roman"/>
          <w:szCs w:val="22"/>
          <w:lang w:val="en-GB"/>
        </w:rPr>
        <w:t xml:space="preserve">, 15-21.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Barruol G. and M. Granet (2002), A Tertiary asthenospheric flow beneath the southern French Massif Central indicated by upper mantle seismic anisotropy and related to the west Mediterranean extension, </w:t>
      </w:r>
      <w:r w:rsidRPr="0002382D">
        <w:rPr>
          <w:rFonts w:ascii="Times New Roman" w:hAnsi="Times New Roman" w:cs="Times New Roman"/>
          <w:i/>
          <w:szCs w:val="23"/>
          <w:lang w:val="en-GB"/>
        </w:rPr>
        <w:t>Earth and Planetary Science Letters, 202</w:t>
      </w:r>
      <w:r w:rsidRPr="0002382D">
        <w:rPr>
          <w:rFonts w:ascii="Times New Roman" w:hAnsi="Times New Roman" w:cs="Times New Roman"/>
          <w:szCs w:val="23"/>
          <w:lang w:val="en-GB"/>
        </w:rPr>
        <w:t xml:space="preserve">, 31-47.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Baruffini, L., Lottaroli, F. and S. Torricelli S. (2002), Integrated high-resolution stratigraphy of the lower Oligocene Tusa tuffite formation in the Calabro-Lucano area and Sicily (southern Italy), </w:t>
      </w:r>
      <w:r w:rsidRPr="0002382D">
        <w:rPr>
          <w:rFonts w:ascii="Times New Roman" w:hAnsi="Times New Roman" w:cs="Times New Roman"/>
          <w:i/>
          <w:szCs w:val="22"/>
          <w:lang w:val="en-GB"/>
        </w:rPr>
        <w:t>Rivista Italiana di Paleontologia e Stratigrafia, 108(3)</w:t>
      </w:r>
      <w:r w:rsidRPr="0002382D">
        <w:rPr>
          <w:rFonts w:ascii="Times New Roman" w:hAnsi="Times New Roman" w:cs="Times New Roman"/>
          <w:szCs w:val="22"/>
          <w:lang w:val="en-GB"/>
        </w:rPr>
        <w:t xml:space="preserve">, 457-477. </w:t>
      </w:r>
    </w:p>
    <w:p w:rsidR="007B6DBD" w:rsidRPr="0002382D" w:rsidRDefault="007B6DBD" w:rsidP="007B6DBD">
      <w:pPr>
        <w:pStyle w:val="Testonormale"/>
        <w:spacing w:line="240" w:lineRule="auto"/>
        <w:ind w:hanging="284"/>
        <w:jc w:val="both"/>
        <w:rPr>
          <w:rFonts w:ascii="Times New Roman" w:hAnsi="Times New Roman" w:cs="Times New Roman"/>
          <w:color w:val="231F20"/>
          <w:szCs w:val="22"/>
          <w:lang w:val="en-GB"/>
        </w:rPr>
      </w:pPr>
      <w:r w:rsidRPr="0002382D">
        <w:rPr>
          <w:rFonts w:ascii="Times New Roman" w:hAnsi="Times New Roman" w:cs="Times New Roman"/>
          <w:color w:val="231F20"/>
          <w:szCs w:val="22"/>
          <w:lang w:val="en-GB"/>
        </w:rPr>
        <w:t xml:space="preserve">Beccaluva, L., Deriu, M., Macciotta, G., Savelli, C. and G. Venturelli (1977), Geochronology and magmatic character of Pliocene-Pleistocene volcanism in Sardinia (Italy), </w:t>
      </w:r>
      <w:r w:rsidRPr="0002382D">
        <w:rPr>
          <w:rFonts w:ascii="Times New Roman" w:hAnsi="Times New Roman" w:cs="Times New Roman"/>
          <w:i/>
          <w:color w:val="231F20"/>
          <w:szCs w:val="22"/>
          <w:lang w:val="en-GB"/>
        </w:rPr>
        <w:t>Bulletin Volcanologique 40/3</w:t>
      </w:r>
      <w:r w:rsidRPr="0002382D">
        <w:rPr>
          <w:rFonts w:ascii="Times New Roman" w:hAnsi="Times New Roman" w:cs="Times New Roman"/>
          <w:color w:val="231F20"/>
          <w:szCs w:val="22"/>
          <w:lang w:val="en-GB"/>
        </w:rPr>
        <w:t xml:space="preserve">, 1–16.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Beccaluva </w:t>
      </w:r>
      <w:r w:rsidRPr="0002382D">
        <w:rPr>
          <w:rFonts w:ascii="Times New Roman" w:hAnsi="Times New Roman" w:cs="Times New Roman"/>
          <w:color w:val="231F20"/>
          <w:szCs w:val="23"/>
          <w:lang w:val="en-GB"/>
        </w:rPr>
        <w:t>L.</w:t>
      </w:r>
      <w:r w:rsidRPr="0002382D">
        <w:rPr>
          <w:rFonts w:ascii="Times New Roman" w:hAnsi="Times New Roman" w:cs="Times New Roman"/>
          <w:szCs w:val="23"/>
          <w:lang w:val="en-GB"/>
        </w:rPr>
        <w:t xml:space="preserve">, Coltorti M., Galassi B., Macciotta G. and F. Siena (1994), The Cenozoic calc-alkaline magmatism of the western Mediterranean and its geodynamic significance. Bollettino. Geofisica Teorica e Applicata, 36/141-144, 293-308.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Belanteur O., Bellon H., Maury R.C. and 5 others (1995), Le magmatisme miocene de l'Est Algerois: geologie, geochimie et geochronologie </w:t>
      </w:r>
      <w:r w:rsidRPr="0002382D">
        <w:rPr>
          <w:rFonts w:ascii="Times New Roman" w:hAnsi="Times New Roman" w:cs="Times New Roman"/>
          <w:szCs w:val="22"/>
          <w:vertAlign w:val="superscript"/>
          <w:lang w:val="en-GB"/>
        </w:rPr>
        <w:t>40</w:t>
      </w:r>
      <w:r w:rsidRPr="0002382D">
        <w:rPr>
          <w:rFonts w:ascii="Times New Roman" w:hAnsi="Times New Roman" w:cs="Times New Roman"/>
          <w:szCs w:val="22"/>
          <w:lang w:val="en-GB"/>
        </w:rPr>
        <w:t>K-</w:t>
      </w:r>
      <w:r w:rsidRPr="0002382D">
        <w:rPr>
          <w:rFonts w:ascii="Times New Roman" w:hAnsi="Times New Roman" w:cs="Times New Roman"/>
          <w:szCs w:val="22"/>
          <w:vertAlign w:val="superscript"/>
          <w:lang w:val="en-GB"/>
        </w:rPr>
        <w:t>40</w:t>
      </w:r>
      <w:r w:rsidRPr="0002382D">
        <w:rPr>
          <w:rFonts w:ascii="Times New Roman" w:hAnsi="Times New Roman" w:cs="Times New Roman"/>
          <w:szCs w:val="22"/>
          <w:lang w:val="en-GB"/>
        </w:rPr>
        <w:t xml:space="preserve">Ar, </w:t>
      </w:r>
      <w:r w:rsidRPr="0002382D">
        <w:rPr>
          <w:rFonts w:ascii="Times New Roman" w:hAnsi="Times New Roman" w:cs="Times New Roman"/>
          <w:i/>
          <w:iCs/>
          <w:szCs w:val="22"/>
          <w:lang w:val="en-GB"/>
        </w:rPr>
        <w:t>Comptes</w:t>
      </w:r>
      <w:r w:rsidRPr="0002382D">
        <w:rPr>
          <w:rFonts w:ascii="Times New Roman" w:hAnsi="Times New Roman" w:cs="Times New Roman"/>
          <w:szCs w:val="22"/>
          <w:lang w:val="en-GB"/>
        </w:rPr>
        <w:t xml:space="preserve"> </w:t>
      </w:r>
      <w:r w:rsidRPr="0002382D">
        <w:rPr>
          <w:rFonts w:ascii="Times New Roman" w:hAnsi="Times New Roman" w:cs="Times New Roman"/>
          <w:i/>
          <w:iCs/>
          <w:szCs w:val="22"/>
          <w:lang w:val="en-GB"/>
        </w:rPr>
        <w:t>Rendus Academie des Sciences, Paris</w:t>
      </w:r>
      <w:r w:rsidRPr="0002382D">
        <w:rPr>
          <w:rFonts w:ascii="Times New Roman" w:hAnsi="Times New Roman" w:cs="Times New Roman"/>
          <w:szCs w:val="22"/>
          <w:lang w:val="en-GB"/>
        </w:rPr>
        <w:t xml:space="preserve">, </w:t>
      </w:r>
      <w:r w:rsidRPr="0002382D">
        <w:rPr>
          <w:rFonts w:ascii="Times New Roman" w:hAnsi="Times New Roman" w:cs="Times New Roman"/>
          <w:bCs/>
          <w:i/>
          <w:szCs w:val="22"/>
          <w:lang w:val="en-GB"/>
        </w:rPr>
        <w:t>321</w:t>
      </w:r>
      <w:r w:rsidRPr="0002382D">
        <w:rPr>
          <w:rFonts w:ascii="Times New Roman" w:hAnsi="Times New Roman" w:cs="Times New Roman"/>
          <w:szCs w:val="22"/>
          <w:lang w:val="en-GB"/>
        </w:rPr>
        <w:t xml:space="preserve">, 489-496. </w:t>
      </w:r>
    </w:p>
    <w:p w:rsidR="007B6DBD" w:rsidRPr="0002382D" w:rsidRDefault="007B6DBD" w:rsidP="007B6DBD">
      <w:pPr>
        <w:pStyle w:val="Testonormale"/>
        <w:spacing w:line="240" w:lineRule="auto"/>
        <w:ind w:hanging="284"/>
        <w:jc w:val="both"/>
        <w:rPr>
          <w:rFonts w:ascii="Times New Roman" w:hAnsi="Times New Roman" w:cs="Times New Roman"/>
          <w:color w:val="231F20"/>
          <w:szCs w:val="23"/>
          <w:lang w:val="en-GB"/>
        </w:rPr>
      </w:pPr>
      <w:r w:rsidRPr="0002382D">
        <w:rPr>
          <w:rFonts w:ascii="Times New Roman" w:hAnsi="Times New Roman" w:cs="Times New Roman"/>
          <w:color w:val="231F20"/>
          <w:szCs w:val="23"/>
          <w:lang w:val="en-GB"/>
        </w:rPr>
        <w:t xml:space="preserve">Bell K., Castorina F Rosatelli G Stoppa F. (2006), Plume activity, magmatism, and the geodynamic evolution of the central Mediterranean, </w:t>
      </w:r>
      <w:r w:rsidRPr="0002382D">
        <w:rPr>
          <w:rFonts w:ascii="Times New Roman" w:hAnsi="Times New Roman" w:cs="Times New Roman"/>
          <w:i/>
          <w:color w:val="231F20"/>
          <w:szCs w:val="23"/>
          <w:lang w:val="en-GB"/>
        </w:rPr>
        <w:t>Annals of Geophysics</w:t>
      </w:r>
      <w:r w:rsidRPr="0002382D">
        <w:rPr>
          <w:rFonts w:ascii="Times New Roman" w:hAnsi="Times New Roman" w:cs="Times New Roman"/>
          <w:color w:val="231F20"/>
          <w:szCs w:val="23"/>
          <w:lang w:val="en-GB"/>
        </w:rPr>
        <w:t xml:space="preserve">, </w:t>
      </w:r>
      <w:r w:rsidRPr="0002382D">
        <w:rPr>
          <w:rFonts w:ascii="Times New Roman" w:hAnsi="Times New Roman" w:cs="Times New Roman"/>
          <w:i/>
          <w:color w:val="231F20"/>
          <w:szCs w:val="23"/>
          <w:lang w:val="en-GB"/>
        </w:rPr>
        <w:t>Suppl. to vol. 49/1</w:t>
      </w:r>
      <w:r w:rsidRPr="0002382D">
        <w:rPr>
          <w:rFonts w:ascii="Times New Roman" w:hAnsi="Times New Roman" w:cs="Times New Roman"/>
          <w:color w:val="231F20"/>
          <w:szCs w:val="23"/>
          <w:lang w:val="en-GB"/>
        </w:rPr>
        <w:t xml:space="preserve">, 357-371.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rPr>
        <w:t xml:space="preserve">Bellon H. (1981), Chronologie radiometrique (K-Ar) des manifestations magmatiques autour de la Mediterranee occidentale entre 33 et 1 Ma. </w:t>
      </w:r>
      <w:r w:rsidRPr="0002382D">
        <w:rPr>
          <w:rFonts w:ascii="Times New Roman" w:hAnsi="Times New Roman" w:cs="Times New Roman"/>
          <w:szCs w:val="23"/>
          <w:lang w:val="en-GB"/>
        </w:rPr>
        <w:t xml:space="preserve">In Wezel F.C. (ed.), </w:t>
      </w:r>
      <w:r w:rsidRPr="0002382D">
        <w:rPr>
          <w:rFonts w:ascii="Times New Roman" w:hAnsi="Times New Roman" w:cs="Times New Roman"/>
          <w:iCs/>
          <w:szCs w:val="23"/>
          <w:lang w:val="en-GB"/>
        </w:rPr>
        <w:t>Sedimentary basins of Mediterranean margins.</w:t>
      </w:r>
      <w:r w:rsidRPr="0002382D">
        <w:rPr>
          <w:rFonts w:ascii="Times New Roman" w:hAnsi="Times New Roman" w:cs="Times New Roman"/>
          <w:szCs w:val="23"/>
          <w:lang w:val="en-GB"/>
        </w:rPr>
        <w:t xml:space="preserve"> </w:t>
      </w:r>
      <w:r w:rsidRPr="0002382D">
        <w:rPr>
          <w:rFonts w:ascii="Times New Roman" w:hAnsi="Times New Roman" w:cs="Times New Roman"/>
          <w:i/>
          <w:szCs w:val="23"/>
          <w:lang w:val="en-GB"/>
        </w:rPr>
        <w:t>CNR Italian Project of Oceanography, Tecnoprint, Bologna</w:t>
      </w:r>
      <w:r w:rsidRPr="0002382D">
        <w:rPr>
          <w:rFonts w:ascii="Times New Roman" w:hAnsi="Times New Roman" w:cs="Times New Roman"/>
          <w:szCs w:val="23"/>
          <w:lang w:val="en-GB"/>
        </w:rPr>
        <w:t xml:space="preserve">, 341-360.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Bellon H., Bordet P., and C. Montenat (1983), Chronologie du magmatisme neogene des Cordilleres betiques (Espagna meridionale), </w:t>
      </w:r>
      <w:r w:rsidRPr="0002382D">
        <w:rPr>
          <w:rFonts w:ascii="Times New Roman" w:hAnsi="Times New Roman" w:cs="Times New Roman"/>
          <w:i/>
          <w:iCs/>
          <w:szCs w:val="22"/>
          <w:lang w:val="en-GB"/>
        </w:rPr>
        <w:t xml:space="preserve">Bulletin Societe’ Geologique de France, </w:t>
      </w:r>
      <w:r w:rsidRPr="0002382D">
        <w:rPr>
          <w:rFonts w:ascii="Times New Roman" w:hAnsi="Times New Roman" w:cs="Times New Roman"/>
          <w:bCs/>
          <w:i/>
          <w:szCs w:val="22"/>
          <w:lang w:val="en-GB"/>
        </w:rPr>
        <w:t>25</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 205-217. </w:t>
      </w:r>
    </w:p>
    <w:p w:rsidR="007B6DBD" w:rsidRPr="0002382D" w:rsidRDefault="007B6DBD" w:rsidP="007B6DBD">
      <w:pPr>
        <w:spacing w:line="240" w:lineRule="auto"/>
        <w:ind w:hanging="284"/>
        <w:rPr>
          <w:sz w:val="20"/>
          <w:szCs w:val="22"/>
        </w:rPr>
      </w:pPr>
      <w:r w:rsidRPr="0002382D">
        <w:rPr>
          <w:sz w:val="20"/>
          <w:szCs w:val="22"/>
        </w:rPr>
        <w:t xml:space="preserve">Benito R., Lopez-Ruiz J., Cebria J.M., Hertogen J., Doblas M., Oyarzun R. and D. Demaiffe (1999), Sr and O isotope constraints on source and crustal contamination in the high-K calc-alkaline and shoshonitic Neogene volcanic rocks of SE Spain, </w:t>
      </w:r>
      <w:r w:rsidRPr="0002382D">
        <w:rPr>
          <w:i/>
          <w:sz w:val="20"/>
          <w:szCs w:val="22"/>
        </w:rPr>
        <w:t>Lithos, 46</w:t>
      </w:r>
      <w:r w:rsidRPr="0002382D">
        <w:rPr>
          <w:sz w:val="20"/>
          <w:szCs w:val="22"/>
        </w:rPr>
        <w:t xml:space="preserve">, 733-802. </w:t>
      </w:r>
    </w:p>
    <w:p w:rsidR="007B6DBD" w:rsidRPr="0002382D" w:rsidRDefault="007B6DBD" w:rsidP="007B6DBD">
      <w:pPr>
        <w:pStyle w:val="Testonormale"/>
        <w:spacing w:line="240" w:lineRule="auto"/>
        <w:ind w:hanging="284"/>
        <w:jc w:val="both"/>
        <w:rPr>
          <w:rFonts w:ascii="Times New Roman" w:hAnsi="Times New Roman" w:cs="Times New Roman"/>
          <w:szCs w:val="23"/>
        </w:rPr>
      </w:pPr>
      <w:r w:rsidRPr="0002382D">
        <w:rPr>
          <w:rFonts w:ascii="Times New Roman" w:hAnsi="Times New Roman" w:cs="Times New Roman"/>
          <w:szCs w:val="23"/>
          <w:lang w:val="en-GB"/>
        </w:rPr>
        <w:t xml:space="preserve">Boccaletti M., Elter P., and G. Guazzone (1971), Plate tectonic models for the development of the Western Alps and Northern Apennines. </w:t>
      </w:r>
      <w:r w:rsidRPr="0002382D">
        <w:rPr>
          <w:rFonts w:ascii="Times New Roman" w:hAnsi="Times New Roman" w:cs="Times New Roman"/>
          <w:i/>
          <w:szCs w:val="23"/>
        </w:rPr>
        <w:t>Nature</w:t>
      </w:r>
      <w:r w:rsidRPr="0002382D">
        <w:rPr>
          <w:rFonts w:ascii="Times New Roman" w:hAnsi="Times New Roman" w:cs="Times New Roman"/>
          <w:szCs w:val="23"/>
        </w:rPr>
        <w:t xml:space="preserve"> 234:108–111.</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rPr>
        <w:t xml:space="preserve">Borsetti A.M., Cati F., Mezzetti R., Savelli C. Toni, G. (1984), Le intercalazioni vulcanoclastiche nei sedimenti oligo-miocenici dell'Appennino settentrionale e centrale (dati petrologici, K/Ar e micropaleontologici), </w:t>
      </w:r>
      <w:r w:rsidRPr="0002382D">
        <w:rPr>
          <w:rFonts w:ascii="Times New Roman" w:hAnsi="Times New Roman" w:cs="Times New Roman"/>
          <w:i/>
          <w:iCs/>
          <w:szCs w:val="22"/>
        </w:rPr>
        <w:t xml:space="preserve">Giorn. </w:t>
      </w:r>
      <w:r w:rsidRPr="0002382D">
        <w:rPr>
          <w:rFonts w:ascii="Times New Roman" w:hAnsi="Times New Roman" w:cs="Times New Roman"/>
          <w:i/>
          <w:iCs/>
          <w:szCs w:val="22"/>
          <w:lang w:val="en-GB"/>
        </w:rPr>
        <w:t>Geol.,</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45/2</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 159-198.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Cadoux A., Pinti D. L., Aznar C., Chiesa S. and P.-Y.Gillot, (2005), New chronological and geochemical constraints on the genesis and geological evolution of Ponza and Palmarola Volcanic Islands (Tyrrhenian Sea, Italy), </w:t>
      </w:r>
      <w:r w:rsidRPr="0002382D">
        <w:rPr>
          <w:rFonts w:ascii="Times New Roman" w:hAnsi="Times New Roman" w:cs="Times New Roman"/>
          <w:i/>
          <w:szCs w:val="22"/>
          <w:lang w:val="en-GB"/>
        </w:rPr>
        <w:t>Lithos 81</w:t>
      </w:r>
      <w:r w:rsidRPr="0002382D">
        <w:rPr>
          <w:rFonts w:ascii="Times New Roman" w:hAnsi="Times New Roman" w:cs="Times New Roman"/>
          <w:szCs w:val="22"/>
          <w:lang w:val="en-GB"/>
        </w:rPr>
        <w:t xml:space="preserve">, 121– 151. </w:t>
      </w:r>
    </w:p>
    <w:p w:rsidR="007B6DBD" w:rsidRPr="00564975" w:rsidRDefault="000C665B" w:rsidP="007B6DBD">
      <w:pPr>
        <w:pStyle w:val="Testonormale"/>
        <w:spacing w:line="240" w:lineRule="auto"/>
        <w:ind w:hanging="284"/>
        <w:jc w:val="both"/>
        <w:rPr>
          <w:rFonts w:ascii="Times New Roman" w:hAnsi="Times New Roman" w:cs="Times New Roman"/>
          <w:szCs w:val="22"/>
          <w:lang w:val="en-GB"/>
        </w:rPr>
      </w:pPr>
      <w:hyperlink r:id="rId17" w:history="1">
        <w:r w:rsidR="007B6DBD" w:rsidRPr="0002382D">
          <w:rPr>
            <w:rFonts w:ascii="Times New Roman" w:hAnsi="Times New Roman" w:cs="Times New Roman"/>
            <w:color w:val="000000"/>
            <w:szCs w:val="22"/>
          </w:rPr>
          <w:t xml:space="preserve">Campos Venuti </w:t>
        </w:r>
        <w:r w:rsidR="007B6DBD" w:rsidRPr="0002382D">
          <w:rPr>
            <w:rFonts w:ascii="Times New Roman" w:hAnsi="Times New Roman" w:cs="Times New Roman"/>
            <w:color w:val="231F20"/>
            <w:szCs w:val="22"/>
          </w:rPr>
          <w:t>M.</w:t>
        </w:r>
        <w:r w:rsidR="007B6DBD" w:rsidRPr="0002382D">
          <w:rPr>
            <w:rFonts w:ascii="Times New Roman" w:hAnsi="Times New Roman" w:cs="Times New Roman"/>
            <w:color w:val="000000"/>
            <w:szCs w:val="22"/>
          </w:rPr>
          <w:t xml:space="preserve">, </w:t>
        </w:r>
      </w:hyperlink>
      <w:hyperlink r:id="rId18" w:history="1">
        <w:r w:rsidR="007B6DBD" w:rsidRPr="0002382D">
          <w:rPr>
            <w:rFonts w:ascii="Times New Roman" w:hAnsi="Times New Roman" w:cs="Times New Roman"/>
            <w:color w:val="000000"/>
            <w:szCs w:val="22"/>
          </w:rPr>
          <w:t>Pini, G. and A.</w:t>
        </w:r>
      </w:hyperlink>
      <w:r w:rsidR="007B6DBD" w:rsidRPr="0002382D">
        <w:rPr>
          <w:rFonts w:ascii="Times New Roman" w:hAnsi="Times New Roman" w:cs="Times New Roman"/>
          <w:color w:val="000000"/>
          <w:szCs w:val="22"/>
        </w:rPr>
        <w:t xml:space="preserve"> </w:t>
      </w:r>
      <w:hyperlink r:id="rId19" w:history="1">
        <w:r w:rsidR="007B6DBD" w:rsidRPr="0002382D">
          <w:rPr>
            <w:rFonts w:ascii="Times New Roman" w:hAnsi="Times New Roman" w:cs="Times New Roman"/>
            <w:color w:val="000000"/>
            <w:szCs w:val="22"/>
            <w:lang w:val="en-GB"/>
          </w:rPr>
          <w:t>Tateo, F.</w:t>
        </w:r>
      </w:hyperlink>
      <w:r w:rsidR="007B6DBD" w:rsidRPr="0002382D">
        <w:rPr>
          <w:rFonts w:ascii="Times New Roman" w:hAnsi="Times New Roman" w:cs="Times New Roman"/>
          <w:szCs w:val="22"/>
          <w:lang w:val="en-GB"/>
        </w:rPr>
        <w:t xml:space="preserve"> (1997), Oligocene ash-layer in an Epiligurian Unit of Northern Apennines near Bologna (Italy); how far was the volcano? </w:t>
      </w:r>
      <w:r w:rsidR="007B6DBD" w:rsidRPr="00564975">
        <w:rPr>
          <w:rFonts w:ascii="Times New Roman" w:hAnsi="Times New Roman" w:cs="Times New Roman"/>
          <w:i/>
          <w:iCs/>
          <w:szCs w:val="22"/>
          <w:lang w:val="en-GB"/>
        </w:rPr>
        <w:t>Giorn. Geol.</w:t>
      </w:r>
      <w:r w:rsidR="007B6DBD" w:rsidRPr="00564975">
        <w:rPr>
          <w:rFonts w:ascii="Times New Roman" w:hAnsi="Times New Roman" w:cs="Times New Roman"/>
          <w:i/>
          <w:szCs w:val="22"/>
          <w:lang w:val="en-GB"/>
        </w:rPr>
        <w:t xml:space="preserve"> </w:t>
      </w:r>
      <w:r w:rsidR="007B6DBD" w:rsidRPr="00564975">
        <w:rPr>
          <w:rFonts w:ascii="Times New Roman" w:hAnsi="Times New Roman" w:cs="Times New Roman"/>
          <w:bCs/>
          <w:i/>
          <w:szCs w:val="22"/>
          <w:lang w:val="en-GB"/>
        </w:rPr>
        <w:t>59</w:t>
      </w:r>
      <w:r w:rsidR="007B6DBD" w:rsidRPr="00564975">
        <w:rPr>
          <w:rFonts w:ascii="Times New Roman" w:hAnsi="Times New Roman" w:cs="Times New Roman"/>
          <w:szCs w:val="22"/>
          <w:lang w:val="en-GB"/>
        </w:rPr>
        <w:t xml:space="preserve">, 169-192.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Carminati E., Wortel M.J.R., W. Spakman and R. Sabatini (1998a), The role of slab detachment processes in the opening of central-western Mediterranena basins: some geological and geophysical evidence, </w:t>
      </w:r>
      <w:r w:rsidRPr="0002382D">
        <w:rPr>
          <w:rFonts w:ascii="Times New Roman" w:hAnsi="Times New Roman" w:cs="Times New Roman"/>
          <w:i/>
          <w:iCs/>
          <w:szCs w:val="23"/>
          <w:lang w:val="en-GB"/>
        </w:rPr>
        <w:t>Earth Planetary. Scie. Lett</w:t>
      </w:r>
      <w:r w:rsidRPr="0002382D">
        <w:rPr>
          <w:rFonts w:ascii="Times New Roman" w:hAnsi="Times New Roman" w:cs="Times New Roman"/>
          <w:i/>
          <w:szCs w:val="23"/>
          <w:lang w:val="en-GB"/>
        </w:rPr>
        <w:t xml:space="preserve">., </w:t>
      </w:r>
      <w:r w:rsidRPr="0002382D">
        <w:rPr>
          <w:rFonts w:ascii="Times New Roman" w:hAnsi="Times New Roman" w:cs="Times New Roman"/>
          <w:bCs/>
          <w:i/>
          <w:szCs w:val="23"/>
          <w:lang w:val="en-GB"/>
        </w:rPr>
        <w:t>160</w:t>
      </w:r>
      <w:r w:rsidRPr="0002382D">
        <w:rPr>
          <w:rFonts w:ascii="Times New Roman" w:hAnsi="Times New Roman" w:cs="Times New Roman"/>
          <w:bCs/>
          <w:szCs w:val="23"/>
          <w:lang w:val="en-GB"/>
        </w:rPr>
        <w:t>,</w:t>
      </w:r>
      <w:r w:rsidRPr="0002382D">
        <w:rPr>
          <w:rFonts w:ascii="Times New Roman" w:hAnsi="Times New Roman" w:cs="Times New Roman"/>
          <w:szCs w:val="23"/>
          <w:lang w:val="en-GB"/>
        </w:rPr>
        <w:t xml:space="preserve"> 651-665.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Carminati E., Wortel M.J.R., Meijer P.Th. and R. Sabadini (1998b), The two-stage opening of the western–central Mediterranean basins: a forward modeling test to a new evolutionary model, </w:t>
      </w:r>
      <w:r w:rsidRPr="0002382D">
        <w:rPr>
          <w:rFonts w:ascii="Times New Roman" w:hAnsi="Times New Roman" w:cs="Times New Roman"/>
          <w:i/>
          <w:szCs w:val="23"/>
          <w:lang w:val="en-GB"/>
        </w:rPr>
        <w:t>Earth and Planetary Science Letters, 160</w:t>
      </w:r>
      <w:r w:rsidRPr="0002382D">
        <w:rPr>
          <w:rFonts w:ascii="Times New Roman" w:hAnsi="Times New Roman" w:cs="Times New Roman"/>
          <w:szCs w:val="23"/>
          <w:lang w:val="en-GB"/>
        </w:rPr>
        <w:t xml:space="preserve">, 667–679.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Cavazza W., Roure F.M., and P.A. Ziegler (2004), The Mediterranean area and the surrounding regions: active processes, remnants of former Tethyan oceans and related thrust belts, in </w:t>
      </w:r>
      <w:r w:rsidRPr="0002382D">
        <w:rPr>
          <w:rFonts w:ascii="Times New Roman" w:hAnsi="Times New Roman" w:cs="Times New Roman"/>
          <w:iCs/>
          <w:szCs w:val="23"/>
          <w:lang w:val="en-GB"/>
        </w:rPr>
        <w:t>The TRANSMED atlas</w:t>
      </w:r>
      <w:r w:rsidRPr="0002382D">
        <w:rPr>
          <w:rFonts w:ascii="Times New Roman" w:hAnsi="Times New Roman" w:cs="Times New Roman"/>
          <w:i/>
          <w:iCs/>
          <w:szCs w:val="23"/>
          <w:lang w:val="en-GB"/>
        </w:rPr>
        <w:t xml:space="preserve">, </w:t>
      </w:r>
      <w:r w:rsidRPr="0002382D">
        <w:rPr>
          <w:rFonts w:ascii="Times New Roman" w:hAnsi="Times New Roman" w:cs="Times New Roman"/>
          <w:szCs w:val="23"/>
          <w:lang w:val="en-GB"/>
        </w:rPr>
        <w:t>edited</w:t>
      </w:r>
      <w:r w:rsidRPr="0002382D">
        <w:rPr>
          <w:rFonts w:ascii="Times New Roman" w:hAnsi="Times New Roman" w:cs="Times New Roman"/>
          <w:i/>
          <w:iCs/>
          <w:szCs w:val="23"/>
          <w:lang w:val="en-GB"/>
        </w:rPr>
        <w:t xml:space="preserve"> </w:t>
      </w:r>
      <w:r w:rsidRPr="0002382D">
        <w:rPr>
          <w:rFonts w:ascii="Times New Roman" w:hAnsi="Times New Roman" w:cs="Times New Roman"/>
          <w:szCs w:val="23"/>
          <w:lang w:val="en-GB"/>
        </w:rPr>
        <w:t xml:space="preserve">by Cavazza W., Roure F.M., Spakman W., Stampfli G.M., and P.A. Ziegler, </w:t>
      </w:r>
      <w:r w:rsidRPr="0002382D">
        <w:rPr>
          <w:rFonts w:ascii="Times New Roman" w:hAnsi="Times New Roman" w:cs="Times New Roman"/>
          <w:i/>
          <w:szCs w:val="23"/>
          <w:lang w:val="en-GB"/>
        </w:rPr>
        <w:t>Springer-Verlag, Berlin Heidelberg New York,</w:t>
      </w:r>
      <w:r w:rsidRPr="0002382D">
        <w:rPr>
          <w:rFonts w:ascii="Times New Roman" w:hAnsi="Times New Roman" w:cs="Times New Roman"/>
          <w:szCs w:val="23"/>
          <w:lang w:val="en-GB"/>
        </w:rPr>
        <w:t xml:space="preserve"> pp. 24-27. </w:t>
      </w:r>
    </w:p>
    <w:p w:rsidR="007B6DBD" w:rsidRPr="0002382D" w:rsidRDefault="007B6DBD" w:rsidP="007B6DBD">
      <w:pPr>
        <w:pStyle w:val="Testonormale"/>
        <w:spacing w:line="240" w:lineRule="auto"/>
        <w:ind w:hanging="284"/>
        <w:jc w:val="both"/>
        <w:rPr>
          <w:rFonts w:ascii="Times New Roman" w:hAnsi="Times New Roman" w:cs="Times New Roman"/>
          <w:szCs w:val="23"/>
        </w:rPr>
      </w:pPr>
      <w:r w:rsidRPr="0002382D">
        <w:rPr>
          <w:rFonts w:ascii="Times New Roman" w:hAnsi="Times New Roman" w:cs="Times New Roman"/>
          <w:szCs w:val="23"/>
          <w:lang w:val="en-GB"/>
        </w:rPr>
        <w:t>Chiarabba C., De Gori P. and F. Speranza (2008), The southern Tyrrhenian subduction zone: Deep geometry, magmatism and Plio-Pleistocene evolution</w:t>
      </w:r>
      <w:r w:rsidRPr="0002382D">
        <w:rPr>
          <w:rFonts w:ascii="Times New Roman" w:hAnsi="Times New Roman" w:cs="Times New Roman"/>
          <w:i/>
          <w:szCs w:val="23"/>
          <w:lang w:val="en-GB"/>
        </w:rPr>
        <w:t xml:space="preserve">, Earth and Planet. </w:t>
      </w:r>
      <w:r w:rsidRPr="0002382D">
        <w:rPr>
          <w:rFonts w:ascii="Times New Roman" w:hAnsi="Times New Roman" w:cs="Times New Roman"/>
          <w:i/>
          <w:szCs w:val="23"/>
        </w:rPr>
        <w:t>Science Lett., 268</w:t>
      </w:r>
      <w:r w:rsidRPr="0002382D">
        <w:rPr>
          <w:rFonts w:ascii="Times New Roman" w:hAnsi="Times New Roman" w:cs="Times New Roman"/>
          <w:szCs w:val="23"/>
        </w:rPr>
        <w:t xml:space="preserve">, 408–423. </w:t>
      </w:r>
    </w:p>
    <w:p w:rsidR="007B6DBD" w:rsidRPr="0002382D" w:rsidRDefault="000C665B" w:rsidP="007B6DBD">
      <w:pPr>
        <w:pStyle w:val="Testonormale"/>
        <w:spacing w:line="240" w:lineRule="auto"/>
        <w:ind w:hanging="284"/>
        <w:jc w:val="both"/>
        <w:rPr>
          <w:rFonts w:ascii="Times New Roman" w:hAnsi="Times New Roman" w:cs="Times New Roman"/>
          <w:szCs w:val="22"/>
        </w:rPr>
      </w:pPr>
      <w:hyperlink r:id="rId20" w:history="1">
        <w:r w:rsidR="007B6DBD" w:rsidRPr="0002382D">
          <w:rPr>
            <w:rFonts w:ascii="Times New Roman" w:hAnsi="Times New Roman" w:cs="Times New Roman"/>
            <w:szCs w:val="22"/>
          </w:rPr>
          <w:t xml:space="preserve">Cibin U., </w:t>
        </w:r>
      </w:hyperlink>
      <w:hyperlink r:id="rId21" w:history="1">
        <w:r w:rsidR="007B6DBD" w:rsidRPr="0002382D">
          <w:rPr>
            <w:rFonts w:ascii="Times New Roman" w:hAnsi="Times New Roman" w:cs="Times New Roman"/>
            <w:szCs w:val="22"/>
          </w:rPr>
          <w:t>Tateo, F</w:t>
        </w:r>
      </w:hyperlink>
      <w:r w:rsidR="007B6DBD" w:rsidRPr="0002382D">
        <w:rPr>
          <w:rFonts w:ascii="Times New Roman" w:hAnsi="Times New Roman" w:cs="Times New Roman"/>
          <w:szCs w:val="22"/>
        </w:rPr>
        <w:t xml:space="preserve">., </w:t>
      </w:r>
      <w:hyperlink r:id="rId22" w:history="1">
        <w:r w:rsidR="007B6DBD" w:rsidRPr="0002382D">
          <w:rPr>
            <w:rFonts w:ascii="Times New Roman" w:hAnsi="Times New Roman" w:cs="Times New Roman"/>
            <w:szCs w:val="22"/>
          </w:rPr>
          <w:t>Catanzariti, R</w:t>
        </w:r>
      </w:hyperlink>
      <w:r w:rsidR="007B6DBD" w:rsidRPr="0002382D">
        <w:rPr>
          <w:rFonts w:ascii="Times New Roman" w:hAnsi="Times New Roman" w:cs="Times New Roman"/>
          <w:szCs w:val="22"/>
        </w:rPr>
        <w:t xml:space="preserve">., </w:t>
      </w:r>
      <w:hyperlink r:id="rId23" w:history="1">
        <w:r w:rsidR="007B6DBD" w:rsidRPr="0002382D">
          <w:rPr>
            <w:rFonts w:ascii="Times New Roman" w:hAnsi="Times New Roman" w:cs="Times New Roman"/>
            <w:szCs w:val="22"/>
          </w:rPr>
          <w:t>Martelli, L</w:t>
        </w:r>
      </w:hyperlink>
      <w:r w:rsidR="007B6DBD" w:rsidRPr="0002382D">
        <w:rPr>
          <w:rFonts w:ascii="Times New Roman" w:hAnsi="Times New Roman" w:cs="Times New Roman"/>
          <w:szCs w:val="22"/>
        </w:rPr>
        <w:t xml:space="preserve">. </w:t>
      </w:r>
      <w:hyperlink r:id="rId24" w:history="1">
        <w:r w:rsidR="007B6DBD" w:rsidRPr="0002382D">
          <w:rPr>
            <w:rFonts w:ascii="Times New Roman" w:hAnsi="Times New Roman" w:cs="Times New Roman"/>
            <w:szCs w:val="22"/>
            <w:lang w:val="en-GB"/>
          </w:rPr>
          <w:t>Rio D</w:t>
        </w:r>
      </w:hyperlink>
      <w:r w:rsidR="007B6DBD" w:rsidRPr="0002382D">
        <w:rPr>
          <w:rFonts w:ascii="Times New Roman" w:hAnsi="Times New Roman" w:cs="Times New Roman"/>
          <w:szCs w:val="22"/>
          <w:lang w:val="en-GB"/>
        </w:rPr>
        <w:t xml:space="preserve">. (1998), </w:t>
      </w:r>
      <w:hyperlink r:id="rId25" w:history="1">
        <w:r w:rsidR="007B6DBD" w:rsidRPr="0002382D">
          <w:rPr>
            <w:rFonts w:ascii="Times New Roman" w:hAnsi="Times New Roman" w:cs="Times New Roman"/>
            <w:szCs w:val="22"/>
            <w:lang w:val="en-GB"/>
          </w:rPr>
          <w:t>Composition, origin, and age of lower Oligocene andesitic volcanism in the Northern Apennines; the volcaniclastic beds of the Ranzano Formation</w:t>
        </w:r>
      </w:hyperlink>
      <w:r w:rsidR="007B6DBD" w:rsidRPr="0002382D">
        <w:rPr>
          <w:rFonts w:ascii="Times New Roman" w:hAnsi="Times New Roman" w:cs="Times New Roman"/>
          <w:szCs w:val="22"/>
          <w:lang w:val="en-GB"/>
        </w:rPr>
        <w:t xml:space="preserve">, </w:t>
      </w:r>
      <w:r w:rsidR="007B6DBD" w:rsidRPr="0002382D">
        <w:rPr>
          <w:rFonts w:ascii="Times New Roman" w:hAnsi="Times New Roman" w:cs="Times New Roman"/>
          <w:i/>
          <w:iCs/>
          <w:szCs w:val="22"/>
          <w:lang w:val="en-GB"/>
        </w:rPr>
        <w:t xml:space="preserve">Boll. Soc. </w:t>
      </w:r>
      <w:r w:rsidR="007B6DBD" w:rsidRPr="0002382D">
        <w:rPr>
          <w:rFonts w:ascii="Times New Roman" w:hAnsi="Times New Roman" w:cs="Times New Roman"/>
          <w:i/>
          <w:iCs/>
          <w:szCs w:val="22"/>
        </w:rPr>
        <w:t>Geol. It.</w:t>
      </w:r>
      <w:r w:rsidR="007B6DBD" w:rsidRPr="0002382D">
        <w:rPr>
          <w:rFonts w:ascii="Times New Roman" w:hAnsi="Times New Roman" w:cs="Times New Roman"/>
          <w:i/>
          <w:szCs w:val="22"/>
        </w:rPr>
        <w:t xml:space="preserve"> </w:t>
      </w:r>
      <w:r w:rsidR="007B6DBD" w:rsidRPr="0002382D">
        <w:rPr>
          <w:rFonts w:ascii="Times New Roman" w:hAnsi="Times New Roman" w:cs="Times New Roman"/>
          <w:bCs/>
          <w:i/>
          <w:szCs w:val="22"/>
        </w:rPr>
        <w:t>117</w:t>
      </w:r>
      <w:r w:rsidR="007B6DBD" w:rsidRPr="0002382D">
        <w:rPr>
          <w:rFonts w:ascii="Times New Roman" w:hAnsi="Times New Roman" w:cs="Times New Roman"/>
          <w:i/>
          <w:szCs w:val="22"/>
        </w:rPr>
        <w:t>/3</w:t>
      </w:r>
      <w:r w:rsidR="007B6DBD" w:rsidRPr="0002382D">
        <w:rPr>
          <w:rFonts w:ascii="Times New Roman" w:hAnsi="Times New Roman" w:cs="Times New Roman"/>
          <w:szCs w:val="22"/>
        </w:rPr>
        <w:t xml:space="preserve">, 569-591. </w:t>
      </w:r>
    </w:p>
    <w:p w:rsidR="007B6DBD" w:rsidRPr="0002382D" w:rsidRDefault="000C665B" w:rsidP="007B6DBD">
      <w:pPr>
        <w:pStyle w:val="Testonormale"/>
        <w:spacing w:line="240" w:lineRule="auto"/>
        <w:ind w:hanging="284"/>
        <w:jc w:val="both"/>
        <w:rPr>
          <w:rFonts w:ascii="Times New Roman" w:hAnsi="Times New Roman" w:cs="Times New Roman"/>
          <w:szCs w:val="22"/>
          <w:lang w:val="en-GB"/>
        </w:rPr>
      </w:pPr>
      <w:hyperlink r:id="rId26" w:history="1">
        <w:r w:rsidR="007B6DBD" w:rsidRPr="0002382D">
          <w:rPr>
            <w:rFonts w:ascii="Times New Roman" w:hAnsi="Times New Roman" w:cs="Times New Roman"/>
            <w:szCs w:val="22"/>
          </w:rPr>
          <w:t>Cibin, U</w:t>
        </w:r>
      </w:hyperlink>
      <w:r w:rsidR="007B6DBD" w:rsidRPr="0002382D">
        <w:rPr>
          <w:rFonts w:ascii="Times New Roman" w:hAnsi="Times New Roman" w:cs="Times New Roman"/>
          <w:szCs w:val="22"/>
        </w:rPr>
        <w:t xml:space="preserve">., </w:t>
      </w:r>
      <w:hyperlink r:id="rId27" w:history="1">
        <w:r w:rsidR="007B6DBD" w:rsidRPr="0002382D">
          <w:rPr>
            <w:rFonts w:ascii="Times New Roman" w:hAnsi="Times New Roman" w:cs="Times New Roman"/>
            <w:szCs w:val="22"/>
          </w:rPr>
          <w:t>Spadafora, E</w:t>
        </w:r>
      </w:hyperlink>
      <w:r w:rsidR="007B6DBD" w:rsidRPr="0002382D">
        <w:rPr>
          <w:rFonts w:ascii="Times New Roman" w:hAnsi="Times New Roman" w:cs="Times New Roman"/>
          <w:szCs w:val="22"/>
        </w:rPr>
        <w:t xml:space="preserve">., </w:t>
      </w:r>
      <w:hyperlink r:id="rId28" w:history="1">
        <w:r w:rsidR="007B6DBD" w:rsidRPr="0002382D">
          <w:rPr>
            <w:rFonts w:ascii="Times New Roman" w:hAnsi="Times New Roman" w:cs="Times New Roman"/>
            <w:szCs w:val="22"/>
          </w:rPr>
          <w:t>Zuffa, G G</w:t>
        </w:r>
      </w:hyperlink>
      <w:r w:rsidR="007B6DBD" w:rsidRPr="0002382D">
        <w:rPr>
          <w:rFonts w:ascii="Times New Roman" w:hAnsi="Times New Roman" w:cs="Times New Roman"/>
          <w:szCs w:val="22"/>
        </w:rPr>
        <w:t xml:space="preserve">., </w:t>
      </w:r>
      <w:hyperlink r:id="rId29" w:history="1">
        <w:r w:rsidR="007B6DBD" w:rsidRPr="0002382D">
          <w:rPr>
            <w:rFonts w:ascii="Times New Roman" w:hAnsi="Times New Roman" w:cs="Times New Roman"/>
            <w:szCs w:val="22"/>
          </w:rPr>
          <w:t>Castellarin, A</w:t>
        </w:r>
      </w:hyperlink>
      <w:r w:rsidR="007B6DBD" w:rsidRPr="0002382D">
        <w:rPr>
          <w:rFonts w:ascii="Times New Roman" w:hAnsi="Times New Roman" w:cs="Times New Roman"/>
          <w:szCs w:val="22"/>
        </w:rPr>
        <w:t xml:space="preserve">. </w:t>
      </w:r>
      <w:r w:rsidR="007B6DBD" w:rsidRPr="0002382D">
        <w:rPr>
          <w:rFonts w:ascii="Times New Roman" w:hAnsi="Times New Roman" w:cs="Times New Roman"/>
          <w:szCs w:val="22"/>
          <w:lang w:val="en-GB"/>
        </w:rPr>
        <w:t>(2001), Continental collision history from arenites of episutural basins in the Northern Apennines, Italy,</w:t>
      </w:r>
      <w:r w:rsidR="007B6DBD" w:rsidRPr="0002382D">
        <w:rPr>
          <w:rFonts w:ascii="Times New Roman" w:hAnsi="Times New Roman" w:cs="Times New Roman"/>
          <w:i/>
          <w:szCs w:val="22"/>
          <w:lang w:val="en-GB"/>
        </w:rPr>
        <w:t xml:space="preserve"> </w:t>
      </w:r>
      <w:r w:rsidR="007B6DBD" w:rsidRPr="0002382D">
        <w:rPr>
          <w:rFonts w:ascii="Times New Roman" w:hAnsi="Times New Roman" w:cs="Times New Roman"/>
          <w:i/>
          <w:iCs/>
          <w:szCs w:val="22"/>
          <w:lang w:val="en-GB"/>
        </w:rPr>
        <w:t>Geological Society of America Bulletin</w:t>
      </w:r>
      <w:r w:rsidR="007B6DBD" w:rsidRPr="0002382D">
        <w:rPr>
          <w:rFonts w:ascii="Times New Roman" w:hAnsi="Times New Roman" w:cs="Times New Roman"/>
          <w:iCs/>
          <w:szCs w:val="22"/>
          <w:lang w:val="en-GB"/>
        </w:rPr>
        <w:t>,</w:t>
      </w:r>
      <w:r w:rsidR="007B6DBD" w:rsidRPr="0002382D">
        <w:rPr>
          <w:rFonts w:ascii="Times New Roman" w:hAnsi="Times New Roman" w:cs="Times New Roman"/>
          <w:szCs w:val="22"/>
          <w:lang w:val="en-GB"/>
        </w:rPr>
        <w:t xml:space="preserve"> </w:t>
      </w:r>
      <w:r w:rsidR="007B6DBD" w:rsidRPr="0002382D">
        <w:rPr>
          <w:rFonts w:ascii="Times New Roman" w:hAnsi="Times New Roman" w:cs="Times New Roman"/>
          <w:bCs/>
          <w:i/>
          <w:szCs w:val="22"/>
          <w:lang w:val="en-GB"/>
        </w:rPr>
        <w:t>113</w:t>
      </w:r>
      <w:r w:rsidR="007B6DBD" w:rsidRPr="0002382D">
        <w:rPr>
          <w:rFonts w:ascii="Times New Roman" w:hAnsi="Times New Roman" w:cs="Times New Roman"/>
          <w:szCs w:val="22"/>
          <w:lang w:val="en-GB"/>
        </w:rPr>
        <w:t xml:space="preserve">, 4-19.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Civetta L., Orsi G., Scandone P. and </w:t>
      </w:r>
      <w:r w:rsidRPr="0002382D">
        <w:rPr>
          <w:rFonts w:ascii="Times New Roman" w:hAnsi="Times New Roman" w:cs="Times New Roman"/>
          <w:smallCaps/>
          <w:szCs w:val="22"/>
          <w:lang w:val="en-GB"/>
        </w:rPr>
        <w:t>R</w:t>
      </w:r>
      <w:r w:rsidRPr="0002382D">
        <w:rPr>
          <w:rFonts w:ascii="Times New Roman" w:hAnsi="Times New Roman" w:cs="Times New Roman"/>
          <w:szCs w:val="22"/>
          <w:lang w:val="en-GB"/>
        </w:rPr>
        <w:t>. Pece</w:t>
      </w:r>
      <w:r w:rsidRPr="0002382D">
        <w:rPr>
          <w:rFonts w:ascii="Times New Roman" w:hAnsi="Times New Roman" w:cs="Times New Roman"/>
          <w:smallCaps/>
          <w:szCs w:val="22"/>
          <w:lang w:val="en-GB"/>
        </w:rPr>
        <w:t xml:space="preserve"> </w:t>
      </w:r>
      <w:r w:rsidRPr="0002382D">
        <w:rPr>
          <w:rFonts w:ascii="Times New Roman" w:hAnsi="Times New Roman" w:cs="Times New Roman"/>
          <w:szCs w:val="22"/>
          <w:lang w:val="en-GB"/>
        </w:rPr>
        <w:t xml:space="preserve">(1978), Eastward migration of the Tuscan anatectic magmatism due to anticlockwise rotation of the Apennines, </w:t>
      </w:r>
      <w:r w:rsidRPr="0002382D">
        <w:rPr>
          <w:rFonts w:ascii="Times New Roman" w:hAnsi="Times New Roman" w:cs="Times New Roman"/>
          <w:i/>
          <w:iCs/>
          <w:szCs w:val="22"/>
          <w:lang w:val="en-GB"/>
        </w:rPr>
        <w:t>Nature,</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276</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 604-606. </w:t>
      </w:r>
    </w:p>
    <w:p w:rsidR="007B6DBD" w:rsidRPr="0002382D" w:rsidRDefault="007B6DBD" w:rsidP="007B6DBD">
      <w:pPr>
        <w:pStyle w:val="Testonormale"/>
        <w:spacing w:line="240" w:lineRule="auto"/>
        <w:ind w:hanging="284"/>
        <w:jc w:val="both"/>
        <w:rPr>
          <w:rFonts w:ascii="Times New Roman" w:hAnsi="Times New Roman" w:cs="Times New Roman"/>
          <w:color w:val="231F20"/>
          <w:szCs w:val="22"/>
        </w:rPr>
      </w:pPr>
      <w:r w:rsidRPr="0002382D">
        <w:rPr>
          <w:rFonts w:ascii="Times New Roman" w:hAnsi="Times New Roman" w:cs="Times New Roman"/>
          <w:color w:val="231F20"/>
          <w:szCs w:val="22"/>
        </w:rPr>
        <w:t xml:space="preserve">Cocchi, L., Caratori Tontini F., Muccini F., Marani M. P., Bortoluzzi, G., Carmisciano, C., 2009. </w:t>
      </w:r>
      <w:r w:rsidRPr="0002382D">
        <w:rPr>
          <w:rFonts w:ascii="Times New Roman" w:hAnsi="Times New Roman" w:cs="Times New Roman"/>
          <w:color w:val="231F20"/>
          <w:szCs w:val="22"/>
          <w:lang w:val="en-GB"/>
        </w:rPr>
        <w:t xml:space="preserve">Chronology of the transition from a spreading ridge to an accretional seamount in the Marsili backarc basin (Tyrrhenian Sea). </w:t>
      </w:r>
      <w:r w:rsidRPr="0002382D">
        <w:rPr>
          <w:rFonts w:ascii="Times New Roman" w:hAnsi="Times New Roman" w:cs="Times New Roman"/>
          <w:color w:val="231F20"/>
          <w:szCs w:val="22"/>
        </w:rPr>
        <w:t xml:space="preserve">Terra Nova, 21, 369–374. </w:t>
      </w:r>
    </w:p>
    <w:p w:rsidR="007B6DBD" w:rsidRPr="0002382D" w:rsidRDefault="007B6DBD" w:rsidP="007B6DBD">
      <w:pPr>
        <w:pStyle w:val="Testonormale"/>
        <w:spacing w:line="240" w:lineRule="auto"/>
        <w:ind w:hanging="284"/>
        <w:jc w:val="both"/>
        <w:rPr>
          <w:rFonts w:ascii="Times New Roman" w:hAnsi="Times New Roman" w:cs="Times New Roman"/>
          <w:color w:val="231F20"/>
          <w:szCs w:val="22"/>
          <w:lang w:val="en-GB"/>
        </w:rPr>
      </w:pPr>
      <w:r w:rsidRPr="0002382D">
        <w:rPr>
          <w:rFonts w:ascii="Times New Roman" w:hAnsi="Times New Roman" w:cs="Times New Roman"/>
          <w:color w:val="231F20"/>
          <w:szCs w:val="22"/>
        </w:rPr>
        <w:t xml:space="preserve">Coccioni R., Guerrera F. and F. Veneri (1988), Segnalazione di un intervallo piroclastico (Mega –P) di notevole spessore nel Bisciaro inframiocenico di Arcevia (Appennino marchigiano), </w:t>
      </w:r>
      <w:r w:rsidRPr="0002382D">
        <w:rPr>
          <w:rFonts w:ascii="Times New Roman" w:hAnsi="Times New Roman" w:cs="Times New Roman"/>
          <w:i/>
          <w:color w:val="231F20"/>
          <w:szCs w:val="22"/>
        </w:rPr>
        <w:t xml:space="preserve">Boll. Soc. </w:t>
      </w:r>
      <w:r w:rsidRPr="0002382D">
        <w:rPr>
          <w:rFonts w:ascii="Times New Roman" w:hAnsi="Times New Roman" w:cs="Times New Roman"/>
          <w:i/>
          <w:color w:val="231F20"/>
          <w:szCs w:val="22"/>
          <w:lang w:val="en-GB"/>
        </w:rPr>
        <w:t>Geol. It., 107</w:t>
      </w:r>
      <w:r w:rsidRPr="0002382D">
        <w:rPr>
          <w:rFonts w:ascii="Times New Roman" w:hAnsi="Times New Roman" w:cs="Times New Roman"/>
          <w:color w:val="231F20"/>
          <w:szCs w:val="22"/>
          <w:lang w:val="en-GB"/>
        </w:rPr>
        <w:t xml:space="preserve">, 25-32.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Conte A.M. (1997), Petrology and geochemistry of Tertiary calcalkaline magmatic rocks from the Sarroch district (Sardinia, Italy), </w:t>
      </w:r>
      <w:r w:rsidRPr="0002382D">
        <w:rPr>
          <w:rFonts w:ascii="Times New Roman" w:hAnsi="Times New Roman" w:cs="Times New Roman"/>
          <w:i/>
          <w:szCs w:val="22"/>
          <w:lang w:val="en-GB"/>
        </w:rPr>
        <w:t>Periodico Miner., 66</w:t>
      </w:r>
      <w:r w:rsidRPr="0002382D">
        <w:rPr>
          <w:rFonts w:ascii="Times New Roman" w:hAnsi="Times New Roman" w:cs="Times New Roman"/>
          <w:szCs w:val="22"/>
          <w:lang w:val="en-GB"/>
        </w:rPr>
        <w:t xml:space="preserve">, 63-100.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Conticelli S., Carlson R.W., Widom E. and G. Serri (2007), Chemical and isotopic composition (Os, Pb, Nd, and Sr) of Neogene to Quaternary calc-alkalic, shoshonitic and ultrapotassic mafic rocks from the Italian peninsula: Inferences on the nature of their mantle sources, </w:t>
      </w:r>
      <w:r w:rsidRPr="0002382D">
        <w:rPr>
          <w:rFonts w:ascii="Times New Roman" w:hAnsi="Times New Roman" w:cs="Times New Roman"/>
          <w:i/>
          <w:szCs w:val="22"/>
          <w:lang w:val="en-GB"/>
        </w:rPr>
        <w:t>in</w:t>
      </w:r>
      <w:r w:rsidRPr="0002382D">
        <w:rPr>
          <w:rFonts w:ascii="Times New Roman" w:hAnsi="Times New Roman" w:cs="Times New Roman"/>
          <w:szCs w:val="22"/>
          <w:lang w:val="en-GB"/>
        </w:rPr>
        <w:t xml:space="preserve"> Beccaluva </w:t>
      </w:r>
      <w:r w:rsidRPr="0002382D">
        <w:rPr>
          <w:rFonts w:ascii="Times New Roman" w:hAnsi="Times New Roman" w:cs="Times New Roman"/>
          <w:color w:val="231F20"/>
          <w:szCs w:val="22"/>
          <w:lang w:val="en-GB"/>
        </w:rPr>
        <w:t>L.</w:t>
      </w:r>
      <w:r w:rsidRPr="0002382D">
        <w:rPr>
          <w:rFonts w:ascii="Times New Roman" w:hAnsi="Times New Roman" w:cs="Times New Roman"/>
          <w:szCs w:val="22"/>
          <w:lang w:val="en-GB"/>
        </w:rPr>
        <w:t>, Bianchini G., and Wilson M., eds., Cenozoic Volcanism in the Mediterranean Area</w:t>
      </w:r>
      <w:r w:rsidRPr="0002382D">
        <w:rPr>
          <w:rFonts w:ascii="Times New Roman" w:hAnsi="Times New Roman" w:cs="Times New Roman"/>
          <w:i/>
          <w:szCs w:val="22"/>
          <w:lang w:val="en-GB"/>
        </w:rPr>
        <w:t>:</w:t>
      </w:r>
      <w:r w:rsidRPr="0002382D">
        <w:rPr>
          <w:rFonts w:ascii="Times New Roman" w:hAnsi="Times New Roman" w:cs="Times New Roman"/>
          <w:szCs w:val="22"/>
          <w:lang w:val="en-GB"/>
        </w:rPr>
        <w:t xml:space="preserve"> </w:t>
      </w:r>
      <w:r w:rsidRPr="0002382D">
        <w:rPr>
          <w:rFonts w:ascii="Times New Roman" w:hAnsi="Times New Roman" w:cs="Times New Roman"/>
          <w:i/>
          <w:szCs w:val="22"/>
          <w:lang w:val="en-GB"/>
        </w:rPr>
        <w:t>GSA, Special Paper 418</w:t>
      </w:r>
      <w:r w:rsidRPr="0002382D">
        <w:rPr>
          <w:rFonts w:ascii="Times New Roman" w:hAnsi="Times New Roman" w:cs="Times New Roman"/>
          <w:szCs w:val="22"/>
          <w:lang w:val="en-GB"/>
        </w:rPr>
        <w:t xml:space="preserve">, 171-202.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Conticelli S., Guarnieri L., Farinelli A., Mattei M., Avanzinelli R., Bianchini G., Boari E., Tommasini S., Tiepolo M., Prelević D., Venturelli G. (2009), Trace elements and Sr–Nd–Pb isotopes of K-rich, shoshonitic, and calc-alkaline magmatism of the Western Mediterranean Region: Genesis of ultrapotassic to calc-alkaline magmatic associations in a post-collisional geodynamic setting. </w:t>
      </w:r>
      <w:r w:rsidRPr="0002382D">
        <w:rPr>
          <w:rFonts w:ascii="Times New Roman" w:hAnsi="Times New Roman" w:cs="Times New Roman"/>
          <w:i/>
          <w:szCs w:val="22"/>
          <w:lang w:val="en-GB"/>
        </w:rPr>
        <w:t>Lithos</w:t>
      </w:r>
      <w:r w:rsidRPr="0002382D">
        <w:rPr>
          <w:rFonts w:ascii="Times New Roman" w:hAnsi="Times New Roman" w:cs="Times New Roman"/>
          <w:szCs w:val="22"/>
          <w:lang w:val="en-GB"/>
        </w:rPr>
        <w:t xml:space="preserve"> 107, 68–92.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Coulon C., Demant A., and H. Bellon (1974), Premieres datations par la methode K/Ar de quelques laves Cenozoiques et Quaternaires de Sardaigne nord-occidentale, </w:t>
      </w:r>
      <w:r w:rsidRPr="0002382D">
        <w:rPr>
          <w:rFonts w:ascii="Times New Roman" w:hAnsi="Times New Roman" w:cs="Times New Roman"/>
          <w:i/>
          <w:szCs w:val="22"/>
          <w:lang w:val="en-GB"/>
        </w:rPr>
        <w:t>Tectonophysics, 22</w:t>
      </w:r>
      <w:r w:rsidRPr="0002382D">
        <w:rPr>
          <w:rFonts w:ascii="Times New Roman" w:hAnsi="Times New Roman" w:cs="Times New Roman"/>
          <w:szCs w:val="22"/>
          <w:lang w:val="en-GB"/>
        </w:rPr>
        <w:t xml:space="preserve">, 41-57. </w:t>
      </w:r>
    </w:p>
    <w:p w:rsidR="007B6DBD" w:rsidRPr="0002382D" w:rsidRDefault="007B6DBD" w:rsidP="007B6DBD">
      <w:pPr>
        <w:pStyle w:val="Testonormale"/>
        <w:spacing w:line="240" w:lineRule="auto"/>
        <w:ind w:hanging="284"/>
        <w:jc w:val="both"/>
        <w:rPr>
          <w:rFonts w:ascii="Times New Roman" w:hAnsi="Times New Roman" w:cs="Times New Roman"/>
          <w:szCs w:val="22"/>
        </w:rPr>
      </w:pPr>
      <w:r w:rsidRPr="0002382D">
        <w:rPr>
          <w:rFonts w:ascii="Times New Roman" w:hAnsi="Times New Roman" w:cs="Times New Roman"/>
          <w:szCs w:val="22"/>
          <w:lang w:val="en-GB"/>
        </w:rPr>
        <w:t xml:space="preserve">Coulon C. and C. Dupuy (1975), Evolution spatiale des caracteres chimiques du volcanism andesitique de la Sardaigne, Italie, </w:t>
      </w:r>
      <w:r w:rsidRPr="0002382D">
        <w:rPr>
          <w:rFonts w:ascii="Times New Roman" w:hAnsi="Times New Roman" w:cs="Times New Roman"/>
          <w:i/>
          <w:szCs w:val="22"/>
          <w:lang w:val="en-GB"/>
        </w:rPr>
        <w:t xml:space="preserve">Earth Planet. </w:t>
      </w:r>
      <w:r w:rsidRPr="0002382D">
        <w:rPr>
          <w:rFonts w:ascii="Times New Roman" w:hAnsi="Times New Roman" w:cs="Times New Roman"/>
          <w:i/>
          <w:szCs w:val="22"/>
        </w:rPr>
        <w:t>Sci. Letters, 5</w:t>
      </w:r>
      <w:r w:rsidRPr="0002382D">
        <w:rPr>
          <w:rFonts w:ascii="Times New Roman" w:hAnsi="Times New Roman" w:cs="Times New Roman"/>
          <w:szCs w:val="22"/>
        </w:rPr>
        <w:t xml:space="preserve">, 170-176. </w:t>
      </w:r>
    </w:p>
    <w:p w:rsidR="007B6DBD" w:rsidRPr="0002382D" w:rsidRDefault="007B6DBD" w:rsidP="007B6DBD">
      <w:pPr>
        <w:pStyle w:val="Testonormale"/>
        <w:spacing w:line="240" w:lineRule="auto"/>
        <w:ind w:hanging="284"/>
        <w:jc w:val="both"/>
        <w:rPr>
          <w:rFonts w:ascii="Times New Roman" w:hAnsi="Times New Roman" w:cs="Times New Roman"/>
          <w:szCs w:val="22"/>
        </w:rPr>
      </w:pPr>
      <w:r w:rsidRPr="0002382D">
        <w:rPr>
          <w:rFonts w:ascii="Times New Roman" w:hAnsi="Times New Roman" w:cs="Times New Roman"/>
          <w:szCs w:val="22"/>
        </w:rPr>
        <w:t xml:space="preserve">Crisci G.M., Critelli S. and R. De Rosa (1988), Vulcanismo sinsedimentario nella successione terrigena della formazione di San Mauro (Miocene inferiore, Unità del Cilento), Appennino meridionale, </w:t>
      </w:r>
      <w:r w:rsidRPr="0002382D">
        <w:rPr>
          <w:rFonts w:ascii="Times New Roman" w:hAnsi="Times New Roman" w:cs="Times New Roman"/>
          <w:i/>
          <w:iCs/>
          <w:szCs w:val="22"/>
        </w:rPr>
        <w:t>Mineralogica Petrographica Acta,</w:t>
      </w:r>
      <w:r w:rsidRPr="0002382D">
        <w:rPr>
          <w:rFonts w:ascii="Times New Roman" w:hAnsi="Times New Roman" w:cs="Times New Roman"/>
          <w:i/>
          <w:szCs w:val="22"/>
        </w:rPr>
        <w:t xml:space="preserve"> </w:t>
      </w:r>
      <w:r w:rsidRPr="0002382D">
        <w:rPr>
          <w:rFonts w:ascii="Times New Roman" w:hAnsi="Times New Roman" w:cs="Times New Roman"/>
          <w:bCs/>
          <w:i/>
          <w:szCs w:val="22"/>
        </w:rPr>
        <w:t>31</w:t>
      </w:r>
      <w:r w:rsidRPr="0002382D">
        <w:rPr>
          <w:rFonts w:ascii="Times New Roman" w:hAnsi="Times New Roman" w:cs="Times New Roman"/>
          <w:szCs w:val="22"/>
        </w:rPr>
        <w:t xml:space="preserve">, 159-178. </w:t>
      </w:r>
    </w:p>
    <w:p w:rsidR="007B6DBD" w:rsidRPr="0002382D" w:rsidRDefault="007B6DBD" w:rsidP="007B6DBD">
      <w:pPr>
        <w:pStyle w:val="Testonormale"/>
        <w:spacing w:line="240" w:lineRule="auto"/>
        <w:ind w:hanging="284"/>
        <w:jc w:val="both"/>
        <w:rPr>
          <w:rFonts w:ascii="Times New Roman" w:hAnsi="Times New Roman" w:cs="Times New Roman"/>
          <w:szCs w:val="22"/>
        </w:rPr>
      </w:pPr>
      <w:r w:rsidRPr="0002382D">
        <w:rPr>
          <w:rFonts w:ascii="Times New Roman" w:hAnsi="Times New Roman" w:cs="Times New Roman"/>
          <w:szCs w:val="22"/>
        </w:rPr>
        <w:t xml:space="preserve">Critelli </w:t>
      </w:r>
      <w:r w:rsidRPr="0002382D">
        <w:rPr>
          <w:rFonts w:ascii="Times New Roman" w:hAnsi="Times New Roman" w:cs="Times New Roman"/>
          <w:color w:val="231F20"/>
          <w:szCs w:val="22"/>
        </w:rPr>
        <w:t>S.</w:t>
      </w:r>
      <w:r w:rsidRPr="0002382D">
        <w:rPr>
          <w:rFonts w:ascii="Times New Roman" w:hAnsi="Times New Roman" w:cs="Times New Roman"/>
          <w:szCs w:val="22"/>
        </w:rPr>
        <w:t xml:space="preserve">, De Rosa R., Sonnino M. and G.G. Zuffa (1990), Significato dei depositi vulcanoclastici della Formazione delle Tufiti di Tusa (Miocene inferiore, Lucania meridionale), </w:t>
      </w:r>
      <w:r w:rsidRPr="0002382D">
        <w:rPr>
          <w:rFonts w:ascii="Times New Roman" w:hAnsi="Times New Roman" w:cs="Times New Roman"/>
          <w:i/>
          <w:iCs/>
          <w:szCs w:val="22"/>
        </w:rPr>
        <w:t>Boll. Soc. Geol. It.,</w:t>
      </w:r>
      <w:r w:rsidRPr="0002382D">
        <w:rPr>
          <w:rFonts w:ascii="Times New Roman" w:hAnsi="Times New Roman" w:cs="Times New Roman"/>
          <w:i/>
          <w:szCs w:val="22"/>
        </w:rPr>
        <w:t xml:space="preserve"> </w:t>
      </w:r>
      <w:r w:rsidRPr="0002382D">
        <w:rPr>
          <w:rFonts w:ascii="Times New Roman" w:hAnsi="Times New Roman" w:cs="Times New Roman"/>
          <w:bCs/>
          <w:i/>
          <w:szCs w:val="22"/>
        </w:rPr>
        <w:t>109</w:t>
      </w:r>
      <w:r w:rsidRPr="0002382D">
        <w:rPr>
          <w:rFonts w:ascii="Times New Roman" w:hAnsi="Times New Roman" w:cs="Times New Roman"/>
          <w:bCs/>
          <w:szCs w:val="22"/>
        </w:rPr>
        <w:t>,</w:t>
      </w:r>
      <w:r w:rsidRPr="0002382D">
        <w:rPr>
          <w:rFonts w:ascii="Times New Roman" w:hAnsi="Times New Roman" w:cs="Times New Roman"/>
          <w:szCs w:val="22"/>
        </w:rPr>
        <w:t xml:space="preserve"> 743-762.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rPr>
        <w:t xml:space="preserve">Critelli, </w:t>
      </w:r>
      <w:r w:rsidRPr="0002382D">
        <w:rPr>
          <w:rFonts w:ascii="Times New Roman" w:hAnsi="Times New Roman" w:cs="Times New Roman"/>
          <w:color w:val="231F20"/>
          <w:szCs w:val="22"/>
        </w:rPr>
        <w:t xml:space="preserve">S. and Le Pera E. (1990), Litostratigrafia e composizione della Formazione di Pollica (Cilento, Appennino meridionale), </w:t>
      </w:r>
      <w:r w:rsidRPr="0002382D">
        <w:rPr>
          <w:rFonts w:ascii="Times New Roman" w:hAnsi="Times New Roman" w:cs="Times New Roman"/>
          <w:i/>
          <w:color w:val="231F20"/>
          <w:szCs w:val="22"/>
        </w:rPr>
        <w:t xml:space="preserve">Boll. Soc. </w:t>
      </w:r>
      <w:r w:rsidRPr="0002382D">
        <w:rPr>
          <w:rFonts w:ascii="Times New Roman" w:hAnsi="Times New Roman" w:cs="Times New Roman"/>
          <w:i/>
          <w:color w:val="231F20"/>
          <w:szCs w:val="22"/>
          <w:lang w:val="en-GB"/>
        </w:rPr>
        <w:t>Geol. It</w:t>
      </w:r>
      <w:r w:rsidRPr="0002382D">
        <w:rPr>
          <w:rFonts w:ascii="Times New Roman" w:hAnsi="Times New Roman" w:cs="Times New Roman"/>
          <w:color w:val="231F20"/>
          <w:szCs w:val="22"/>
          <w:lang w:val="en-GB"/>
        </w:rPr>
        <w:t xml:space="preserve">., 109,511-536.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De Astis, G., P. D. Kempton, and A. Peccerillo (2006), Trace element and isotopic variations from Mt. Vulture to Campanian volcanoes: Constraints for slab detachment and mantle inflow beneath southern Italy, Contrib. Mineral. Petrol., 151, 331 – 351, doi:10.1007/s00410-006-0062-y.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De Capoa P., Di Staso A., Guerrera F., Perrone V., Tramontana M. and M.N. Zaghloul (2002), The lower Miocene volcaniclastic sedimentation in the Sicilian sector of the Maghrebian Flysch Basin: geodynamic implications, </w:t>
      </w:r>
      <w:r w:rsidRPr="0002382D">
        <w:rPr>
          <w:rFonts w:ascii="Times New Roman" w:hAnsi="Times New Roman" w:cs="Times New Roman"/>
          <w:i/>
          <w:iCs/>
          <w:szCs w:val="22"/>
          <w:lang w:val="en-GB"/>
        </w:rPr>
        <w:t>Geodinamica Acta</w:t>
      </w:r>
      <w:r w:rsidRPr="0002382D">
        <w:rPr>
          <w:rFonts w:ascii="Times New Roman" w:hAnsi="Times New Roman" w:cs="Times New Roman"/>
          <w:szCs w:val="22"/>
          <w:lang w:val="en-GB"/>
        </w:rPr>
        <w:t xml:space="preserve">, </w:t>
      </w:r>
      <w:r w:rsidRPr="0002382D">
        <w:rPr>
          <w:rFonts w:ascii="Times New Roman" w:hAnsi="Times New Roman" w:cs="Times New Roman"/>
          <w:bCs/>
          <w:i/>
          <w:szCs w:val="22"/>
          <w:lang w:val="en-GB"/>
        </w:rPr>
        <w:t>15</w:t>
      </w:r>
      <w:r w:rsidRPr="0002382D">
        <w:rPr>
          <w:rFonts w:ascii="Times New Roman" w:hAnsi="Times New Roman" w:cs="Times New Roman"/>
          <w:szCs w:val="22"/>
          <w:lang w:val="en-GB"/>
        </w:rPr>
        <w:t xml:space="preserve">, 141-157.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rPr>
        <w:t>Delle Rose M., Guerrera F., Renzulli A., Ravasc-Baranyai L. and Serrano F.</w:t>
      </w:r>
      <w:r w:rsidRPr="0002382D">
        <w:rPr>
          <w:rFonts w:ascii="Times New Roman" w:hAnsi="Times New Roman" w:cs="Times New Roman"/>
          <w:b/>
          <w:bCs/>
          <w:szCs w:val="22"/>
        </w:rPr>
        <w:t xml:space="preserve"> (</w:t>
      </w:r>
      <w:r w:rsidRPr="0002382D">
        <w:rPr>
          <w:rFonts w:ascii="Times New Roman" w:hAnsi="Times New Roman" w:cs="Times New Roman"/>
          <w:szCs w:val="22"/>
        </w:rPr>
        <w:t>1994a), Stratigrafia e petrografia delle Marne di Vicchio (Unità Tettonica Cervarola) dell'alta Val Tiberina (Appennino Tosco-Romagnolo)</w:t>
      </w:r>
      <w:r w:rsidRPr="0002382D">
        <w:rPr>
          <w:rFonts w:ascii="Times New Roman" w:hAnsi="Times New Roman" w:cs="Times New Roman"/>
          <w:b/>
          <w:bCs/>
          <w:szCs w:val="22"/>
        </w:rPr>
        <w:t xml:space="preserve">, </w:t>
      </w:r>
      <w:r w:rsidRPr="0002382D">
        <w:rPr>
          <w:rFonts w:ascii="Times New Roman" w:hAnsi="Times New Roman" w:cs="Times New Roman"/>
          <w:i/>
          <w:iCs/>
          <w:szCs w:val="22"/>
        </w:rPr>
        <w:t xml:space="preserve">Boll. Soc. </w:t>
      </w:r>
      <w:r w:rsidRPr="0002382D">
        <w:rPr>
          <w:rFonts w:ascii="Times New Roman" w:hAnsi="Times New Roman" w:cs="Times New Roman"/>
          <w:i/>
          <w:iCs/>
          <w:szCs w:val="22"/>
          <w:lang w:val="en-GB"/>
        </w:rPr>
        <w:t>Geol. It,.</w:t>
      </w:r>
      <w:r w:rsidRPr="0002382D">
        <w:rPr>
          <w:rFonts w:ascii="Times New Roman" w:hAnsi="Times New Roman" w:cs="Times New Roman"/>
          <w:b/>
          <w:bCs/>
          <w:i/>
          <w:szCs w:val="22"/>
          <w:lang w:val="en-GB"/>
        </w:rPr>
        <w:t xml:space="preserve"> </w:t>
      </w:r>
      <w:r w:rsidRPr="0002382D">
        <w:rPr>
          <w:rFonts w:ascii="Times New Roman" w:hAnsi="Times New Roman" w:cs="Times New Roman"/>
          <w:bCs/>
          <w:i/>
          <w:szCs w:val="22"/>
          <w:lang w:val="en-GB"/>
        </w:rPr>
        <w:t>113</w:t>
      </w:r>
      <w:r w:rsidRPr="0002382D">
        <w:rPr>
          <w:rFonts w:ascii="Times New Roman" w:hAnsi="Times New Roman" w:cs="Times New Roman"/>
          <w:bCs/>
          <w:szCs w:val="22"/>
          <w:lang w:val="en-GB"/>
        </w:rPr>
        <w:t>,</w:t>
      </w:r>
      <w:r w:rsidRPr="0002382D">
        <w:rPr>
          <w:rFonts w:ascii="Times New Roman" w:hAnsi="Times New Roman" w:cs="Times New Roman"/>
          <w:b/>
          <w:bCs/>
          <w:szCs w:val="22"/>
          <w:lang w:val="en-GB"/>
        </w:rPr>
        <w:t xml:space="preserve"> </w:t>
      </w:r>
      <w:r w:rsidRPr="0002382D">
        <w:rPr>
          <w:rFonts w:ascii="Times New Roman" w:hAnsi="Times New Roman" w:cs="Times New Roman"/>
          <w:szCs w:val="22"/>
          <w:lang w:val="en-GB"/>
        </w:rPr>
        <w:t xml:space="preserve">675-708. </w:t>
      </w:r>
    </w:p>
    <w:p w:rsidR="007B6DBD" w:rsidRPr="0002382D" w:rsidRDefault="007B6DBD" w:rsidP="007B6DBD">
      <w:pPr>
        <w:pStyle w:val="Testonormale"/>
        <w:spacing w:line="240" w:lineRule="auto"/>
        <w:ind w:hanging="284"/>
        <w:jc w:val="both"/>
        <w:rPr>
          <w:rFonts w:ascii="Times New Roman" w:hAnsi="Times New Roman" w:cs="Times New Roman"/>
          <w:szCs w:val="22"/>
        </w:rPr>
      </w:pPr>
      <w:r w:rsidRPr="0002382D">
        <w:rPr>
          <w:rFonts w:ascii="Times New Roman" w:hAnsi="Times New Roman" w:cs="Times New Roman"/>
          <w:szCs w:val="22"/>
          <w:lang w:val="en-GB"/>
        </w:rPr>
        <w:t>Delle Rose M., Guerrera F., Renzulli A. and Serrano F. (1994b), Stratigraphic and volcaniclastic events in the Vicchio Marls Auctorum (Cervarola Tectonic Unit) along the Monte Fatucchio section (northern Apennines, Italy),</w:t>
      </w:r>
      <w:r w:rsidRPr="0002382D">
        <w:rPr>
          <w:rFonts w:ascii="Times New Roman" w:hAnsi="Times New Roman" w:cs="Times New Roman"/>
          <w:b/>
          <w:bCs/>
          <w:szCs w:val="22"/>
          <w:lang w:val="en-GB"/>
        </w:rPr>
        <w:t xml:space="preserve"> </w:t>
      </w:r>
      <w:r w:rsidRPr="0002382D">
        <w:rPr>
          <w:rFonts w:ascii="Times New Roman" w:hAnsi="Times New Roman" w:cs="Times New Roman"/>
          <w:i/>
          <w:iCs/>
          <w:szCs w:val="22"/>
          <w:lang w:val="en-GB"/>
        </w:rPr>
        <w:t xml:space="preserve">Giorn. </w:t>
      </w:r>
      <w:r w:rsidRPr="0002382D">
        <w:rPr>
          <w:rFonts w:ascii="Times New Roman" w:hAnsi="Times New Roman" w:cs="Times New Roman"/>
          <w:i/>
          <w:iCs/>
          <w:szCs w:val="22"/>
        </w:rPr>
        <w:t xml:space="preserve">Geol., </w:t>
      </w:r>
      <w:r w:rsidRPr="0002382D">
        <w:rPr>
          <w:rFonts w:ascii="Times New Roman" w:hAnsi="Times New Roman" w:cs="Times New Roman"/>
          <w:bCs/>
          <w:i/>
          <w:szCs w:val="22"/>
        </w:rPr>
        <w:t>56</w:t>
      </w:r>
      <w:r w:rsidRPr="0002382D">
        <w:rPr>
          <w:rFonts w:ascii="Times New Roman" w:hAnsi="Times New Roman" w:cs="Times New Roman"/>
          <w:i/>
          <w:szCs w:val="22"/>
        </w:rPr>
        <w:t>/1</w:t>
      </w:r>
      <w:r w:rsidRPr="0002382D">
        <w:rPr>
          <w:rFonts w:ascii="Times New Roman" w:hAnsi="Times New Roman" w:cs="Times New Roman"/>
          <w:szCs w:val="22"/>
        </w:rPr>
        <w:t xml:space="preserve">, 97-114. </w:t>
      </w:r>
    </w:p>
    <w:p w:rsidR="007B6DBD" w:rsidRPr="0002382D" w:rsidRDefault="007B6DBD" w:rsidP="007B6DBD">
      <w:pPr>
        <w:pStyle w:val="Testonormale"/>
        <w:spacing w:line="240" w:lineRule="auto"/>
        <w:ind w:hanging="284"/>
        <w:jc w:val="both"/>
        <w:rPr>
          <w:rFonts w:ascii="Times New Roman" w:hAnsi="Times New Roman" w:cs="Times New Roman"/>
          <w:color w:val="000000"/>
          <w:szCs w:val="22"/>
        </w:rPr>
      </w:pPr>
      <w:r w:rsidRPr="0002382D">
        <w:rPr>
          <w:rFonts w:ascii="Times New Roman" w:hAnsi="Times New Roman" w:cs="Times New Roman"/>
          <w:szCs w:val="22"/>
        </w:rPr>
        <w:t>Deriu</w:t>
      </w:r>
      <w:r w:rsidRPr="0002382D">
        <w:rPr>
          <w:rFonts w:ascii="Times New Roman" w:hAnsi="Times New Roman" w:cs="Times New Roman"/>
          <w:color w:val="000000"/>
          <w:szCs w:val="22"/>
        </w:rPr>
        <w:t xml:space="preserve"> M., (1962), Stratigrafia, cronologia e caratteri petrochimici delle vulcaniti “oligoceniche” in Sardegna, </w:t>
      </w:r>
      <w:r w:rsidRPr="0002382D">
        <w:rPr>
          <w:rFonts w:ascii="Times New Roman" w:hAnsi="Times New Roman" w:cs="Times New Roman"/>
          <w:i/>
          <w:color w:val="000000"/>
          <w:szCs w:val="22"/>
        </w:rPr>
        <w:t>Mem. Soc. Geol. It., 3</w:t>
      </w:r>
      <w:r w:rsidRPr="0002382D">
        <w:rPr>
          <w:rFonts w:ascii="Times New Roman" w:hAnsi="Times New Roman" w:cs="Times New Roman"/>
          <w:color w:val="000000"/>
          <w:szCs w:val="22"/>
        </w:rPr>
        <w:t xml:space="preserve">, 675-706. </w:t>
      </w:r>
    </w:p>
    <w:p w:rsidR="007B6DBD" w:rsidRPr="0002382D" w:rsidRDefault="007B6DBD" w:rsidP="007B6DBD">
      <w:pPr>
        <w:pStyle w:val="Testonormale"/>
        <w:spacing w:line="240" w:lineRule="auto"/>
        <w:ind w:hanging="284"/>
        <w:jc w:val="both"/>
        <w:rPr>
          <w:rFonts w:ascii="Times New Roman" w:hAnsi="Times New Roman" w:cs="Times New Roman"/>
          <w:szCs w:val="22"/>
        </w:rPr>
      </w:pPr>
      <w:r w:rsidRPr="0002382D">
        <w:rPr>
          <w:rFonts w:ascii="Times New Roman" w:hAnsi="Times New Roman" w:cs="Times New Roman"/>
          <w:szCs w:val="22"/>
        </w:rPr>
        <w:t xml:space="preserve">Di Battistini G., Toscani L., Iaccarino S. and I. Villa (1987), K/Ar ages and geological setting of calcalkaline volcanic rocks from Sierra de Gata, SE Spain, </w:t>
      </w:r>
      <w:r w:rsidRPr="0002382D">
        <w:rPr>
          <w:rFonts w:ascii="Times New Roman" w:hAnsi="Times New Roman" w:cs="Times New Roman"/>
          <w:i/>
          <w:szCs w:val="22"/>
        </w:rPr>
        <w:t xml:space="preserve">Neues Jahrbuch Mineralogie, Monatshefte </w:t>
      </w:r>
      <w:r w:rsidRPr="0002382D">
        <w:rPr>
          <w:rFonts w:ascii="Times New Roman" w:hAnsi="Times New Roman" w:cs="Times New Roman"/>
          <w:bCs/>
          <w:i/>
          <w:szCs w:val="22"/>
        </w:rPr>
        <w:t>H8</w:t>
      </w:r>
      <w:r w:rsidRPr="0002382D">
        <w:rPr>
          <w:rFonts w:ascii="Times New Roman" w:hAnsi="Times New Roman" w:cs="Times New Roman"/>
          <w:szCs w:val="22"/>
        </w:rPr>
        <w:t xml:space="preserve">, 23-38. </w:t>
      </w:r>
    </w:p>
    <w:p w:rsidR="007B6DBD" w:rsidRPr="0002382D" w:rsidRDefault="007B6DBD" w:rsidP="007B6DBD">
      <w:pPr>
        <w:spacing w:line="240" w:lineRule="auto"/>
        <w:ind w:hanging="284"/>
        <w:rPr>
          <w:sz w:val="20"/>
          <w:szCs w:val="23"/>
        </w:rPr>
      </w:pPr>
      <w:r w:rsidRPr="0002382D">
        <w:rPr>
          <w:sz w:val="20"/>
          <w:szCs w:val="23"/>
        </w:rPr>
        <w:t>Doblas</w:t>
      </w:r>
      <w:r w:rsidRPr="0002382D">
        <w:rPr>
          <w:color w:val="231F20"/>
          <w:sz w:val="20"/>
          <w:szCs w:val="23"/>
        </w:rPr>
        <w:t xml:space="preserve"> M., Lopez-Ruiz J. and J.-M. Cebria’ (2007), Cenozoic evolution of the Alboran domain: A review of the tectonomagmatic models. </w:t>
      </w:r>
      <w:r w:rsidRPr="0002382D">
        <w:rPr>
          <w:i/>
          <w:sz w:val="20"/>
          <w:szCs w:val="23"/>
        </w:rPr>
        <w:t>GSA, Special Paper 418</w:t>
      </w:r>
      <w:r w:rsidRPr="0002382D">
        <w:rPr>
          <w:sz w:val="20"/>
          <w:szCs w:val="23"/>
        </w:rPr>
        <w:t xml:space="preserve">, 303-320.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Doglioni C. (1992), Main differences between thrust belts, </w:t>
      </w:r>
      <w:r w:rsidRPr="0002382D">
        <w:rPr>
          <w:rFonts w:ascii="Times New Roman" w:hAnsi="Times New Roman" w:cs="Times New Roman"/>
          <w:i/>
          <w:iCs/>
          <w:szCs w:val="23"/>
          <w:lang w:val="en-GB"/>
        </w:rPr>
        <w:t>Terra Nova</w:t>
      </w:r>
      <w:r w:rsidRPr="0002382D">
        <w:rPr>
          <w:rFonts w:ascii="Times New Roman" w:hAnsi="Times New Roman" w:cs="Times New Roman"/>
          <w:i/>
          <w:szCs w:val="23"/>
          <w:lang w:val="en-GB"/>
        </w:rPr>
        <w:t xml:space="preserve">, </w:t>
      </w:r>
      <w:r w:rsidRPr="0002382D">
        <w:rPr>
          <w:rFonts w:ascii="Times New Roman" w:hAnsi="Times New Roman" w:cs="Times New Roman"/>
          <w:bCs/>
          <w:i/>
          <w:szCs w:val="23"/>
          <w:lang w:val="en-GB"/>
        </w:rPr>
        <w:t>4</w:t>
      </w:r>
      <w:r w:rsidRPr="0002382D">
        <w:rPr>
          <w:rFonts w:ascii="Times New Roman" w:hAnsi="Times New Roman" w:cs="Times New Roman"/>
          <w:bCs/>
          <w:szCs w:val="23"/>
          <w:lang w:val="en-GB"/>
        </w:rPr>
        <w:t>,</w:t>
      </w:r>
      <w:r w:rsidRPr="0002382D">
        <w:rPr>
          <w:rFonts w:ascii="Times New Roman" w:hAnsi="Times New Roman" w:cs="Times New Roman"/>
          <w:szCs w:val="23"/>
          <w:lang w:val="en-GB"/>
        </w:rPr>
        <w:t xml:space="preserve"> 152-164.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Doglioni C. (1995), Geological remarks on the relationships between extension and convergent geodynamic settings, </w:t>
      </w:r>
      <w:r w:rsidRPr="0002382D">
        <w:rPr>
          <w:rFonts w:ascii="Times New Roman" w:hAnsi="Times New Roman" w:cs="Times New Roman"/>
          <w:i/>
          <w:szCs w:val="23"/>
          <w:lang w:val="en-GB"/>
        </w:rPr>
        <w:t>Tectonophysics, 252</w:t>
      </w:r>
      <w:r w:rsidRPr="0002382D">
        <w:rPr>
          <w:rFonts w:ascii="Times New Roman" w:hAnsi="Times New Roman" w:cs="Times New Roman"/>
          <w:szCs w:val="23"/>
          <w:lang w:val="en-GB"/>
        </w:rPr>
        <w:t xml:space="preserve">, 253-267. </w:t>
      </w:r>
    </w:p>
    <w:p w:rsidR="007B6DBD" w:rsidRPr="0002382D" w:rsidRDefault="007B6DBD" w:rsidP="007B6DBD">
      <w:pPr>
        <w:pStyle w:val="Testonormale"/>
        <w:spacing w:line="240" w:lineRule="auto"/>
        <w:ind w:hanging="284"/>
        <w:jc w:val="both"/>
        <w:rPr>
          <w:rFonts w:ascii="Times New Roman" w:hAnsi="Times New Roman" w:cs="Calibri"/>
          <w:szCs w:val="23"/>
          <w:lang w:val="en-GB"/>
        </w:rPr>
      </w:pPr>
      <w:r w:rsidRPr="0002382D">
        <w:rPr>
          <w:rFonts w:ascii="Times New Roman" w:hAnsi="Times New Roman" w:cs="Calibri"/>
          <w:szCs w:val="23"/>
          <w:lang w:val="en-GB"/>
        </w:rPr>
        <w:t xml:space="preserve">Doglioni </w:t>
      </w:r>
      <w:r w:rsidRPr="0002382D">
        <w:rPr>
          <w:rFonts w:ascii="Times New Roman" w:hAnsi="Times New Roman" w:cs="Calibri"/>
          <w:color w:val="231F20"/>
          <w:szCs w:val="23"/>
          <w:lang w:val="en-GB"/>
        </w:rPr>
        <w:t>C.</w:t>
      </w:r>
      <w:r w:rsidRPr="0002382D">
        <w:rPr>
          <w:rFonts w:ascii="Times New Roman" w:hAnsi="Times New Roman" w:cs="Calibri"/>
          <w:szCs w:val="23"/>
          <w:lang w:val="en-GB"/>
        </w:rPr>
        <w:t xml:space="preserve">, Mongelli F. and G.P. Pialli (1998), Boudinage of the Alpine belt in the Apenninic back-arc. </w:t>
      </w:r>
      <w:r w:rsidRPr="0002382D">
        <w:rPr>
          <w:rFonts w:ascii="Times New Roman" w:hAnsi="Times New Roman" w:cs="Calibri"/>
          <w:i/>
          <w:iCs/>
          <w:color w:val="231F20"/>
          <w:szCs w:val="23"/>
          <w:lang w:val="en-GB"/>
        </w:rPr>
        <w:t>Mem. Soc. Geol. It.</w:t>
      </w:r>
      <w:r w:rsidRPr="0002382D">
        <w:rPr>
          <w:rFonts w:ascii="Times New Roman" w:hAnsi="Times New Roman" w:cs="Calibri"/>
          <w:i/>
          <w:szCs w:val="23"/>
          <w:lang w:val="en-GB"/>
        </w:rPr>
        <w:t xml:space="preserve">, </w:t>
      </w:r>
      <w:r w:rsidRPr="0002382D">
        <w:rPr>
          <w:rFonts w:ascii="Times New Roman" w:hAnsi="Times New Roman" w:cs="Calibri"/>
          <w:bCs/>
          <w:i/>
          <w:szCs w:val="23"/>
          <w:lang w:val="en-GB"/>
        </w:rPr>
        <w:t>52</w:t>
      </w:r>
      <w:r w:rsidRPr="0002382D">
        <w:rPr>
          <w:rFonts w:ascii="Times New Roman" w:hAnsi="Times New Roman" w:cs="Calibri"/>
          <w:szCs w:val="23"/>
          <w:lang w:val="en-GB"/>
        </w:rPr>
        <w:t xml:space="preserve">, 457 – 468.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Doglioni C., Gueguen E., Harabaglia P. and F. Mongelli (1999a), On the origin of west-directed subduction zones and applications to the western Mediterranean. In: Durand B., Jolivet L., Horvath F. and Seranne M. (eds.), The </w:t>
      </w:r>
      <w:r w:rsidRPr="0002382D">
        <w:rPr>
          <w:rFonts w:ascii="Times New Roman" w:hAnsi="Times New Roman" w:cs="Times New Roman"/>
          <w:smallCaps/>
          <w:szCs w:val="23"/>
          <w:lang w:val="en-GB"/>
        </w:rPr>
        <w:t>M</w:t>
      </w:r>
      <w:r w:rsidRPr="0002382D">
        <w:rPr>
          <w:rFonts w:ascii="Times New Roman" w:hAnsi="Times New Roman" w:cs="Times New Roman"/>
          <w:szCs w:val="23"/>
          <w:lang w:val="en-GB"/>
        </w:rPr>
        <w:t xml:space="preserve">editerranean Basins: Tertiary Extension within the Alpine Orogen. </w:t>
      </w:r>
      <w:r w:rsidRPr="0002382D">
        <w:rPr>
          <w:rFonts w:ascii="Times New Roman" w:hAnsi="Times New Roman" w:cs="Times New Roman"/>
          <w:i/>
          <w:iCs/>
          <w:szCs w:val="23"/>
          <w:lang w:val="en-GB"/>
        </w:rPr>
        <w:t>Geological Society London</w:t>
      </w:r>
      <w:r w:rsidRPr="0002382D">
        <w:rPr>
          <w:rFonts w:ascii="Times New Roman" w:hAnsi="Times New Roman" w:cs="Times New Roman"/>
          <w:i/>
          <w:szCs w:val="23"/>
          <w:lang w:val="en-GB"/>
        </w:rPr>
        <w:t xml:space="preserve">, </w:t>
      </w:r>
      <w:r w:rsidRPr="0002382D">
        <w:rPr>
          <w:rFonts w:ascii="Times New Roman" w:hAnsi="Times New Roman" w:cs="Times New Roman"/>
          <w:i/>
          <w:iCs/>
          <w:szCs w:val="23"/>
          <w:lang w:val="en-GB"/>
        </w:rPr>
        <w:t xml:space="preserve">Special Publication, </w:t>
      </w:r>
      <w:r w:rsidRPr="0002382D">
        <w:rPr>
          <w:rFonts w:ascii="Times New Roman" w:hAnsi="Times New Roman" w:cs="Times New Roman"/>
          <w:bCs/>
          <w:i/>
          <w:szCs w:val="23"/>
          <w:lang w:val="en-GB"/>
        </w:rPr>
        <w:t>156</w:t>
      </w:r>
      <w:r w:rsidRPr="0002382D">
        <w:rPr>
          <w:rFonts w:ascii="Times New Roman" w:hAnsi="Times New Roman" w:cs="Times New Roman"/>
          <w:szCs w:val="23"/>
          <w:lang w:val="en-GB"/>
        </w:rPr>
        <w:t xml:space="preserve">, 541-561. </w:t>
      </w:r>
    </w:p>
    <w:p w:rsidR="007B6DBD" w:rsidRPr="0002382D" w:rsidRDefault="007B6DBD" w:rsidP="007B6DBD">
      <w:pPr>
        <w:spacing w:line="240" w:lineRule="auto"/>
        <w:ind w:hanging="284"/>
        <w:rPr>
          <w:sz w:val="20"/>
          <w:szCs w:val="23"/>
        </w:rPr>
      </w:pPr>
      <w:r w:rsidRPr="0002382D">
        <w:rPr>
          <w:sz w:val="20"/>
          <w:szCs w:val="23"/>
        </w:rPr>
        <w:t>Doglioni C., Harabaglia P., Merlini S., Mongelli F., Peccerillo A. and C. Piromallo (1999b), Orogens and slabs vs their direction of subduction,</w:t>
      </w:r>
      <w:r w:rsidRPr="0002382D">
        <w:rPr>
          <w:i/>
          <w:sz w:val="20"/>
          <w:szCs w:val="23"/>
        </w:rPr>
        <w:t xml:space="preserve"> Earth Science Reviews, 45</w:t>
      </w:r>
      <w:r w:rsidRPr="0002382D">
        <w:rPr>
          <w:sz w:val="20"/>
          <w:szCs w:val="23"/>
        </w:rPr>
        <w:t xml:space="preserve">, 167-208. </w:t>
      </w:r>
    </w:p>
    <w:p w:rsidR="007B6DBD" w:rsidRPr="0002382D" w:rsidRDefault="007B6DBD" w:rsidP="007B6DBD">
      <w:pPr>
        <w:spacing w:line="240" w:lineRule="auto"/>
        <w:ind w:hanging="284"/>
        <w:rPr>
          <w:sz w:val="20"/>
          <w:szCs w:val="23"/>
          <w:lang w:val="it-IT"/>
        </w:rPr>
      </w:pPr>
      <w:r w:rsidRPr="0002382D">
        <w:rPr>
          <w:sz w:val="20"/>
          <w:szCs w:val="23"/>
          <w:lang w:val="it-IT"/>
        </w:rPr>
        <w:t xml:space="preserve">Doglioni, C., Innocenti, F., Morellato, C., Procaccianti, D., and D. Scrocca (2004), On the Tyrrhenian Sea opening, </w:t>
      </w:r>
      <w:r w:rsidRPr="0002382D">
        <w:rPr>
          <w:i/>
          <w:sz w:val="20"/>
          <w:szCs w:val="23"/>
          <w:lang w:val="it-IT"/>
        </w:rPr>
        <w:t>Memorie Descrittive della Carta Geologica d'Italia, 64</w:t>
      </w:r>
      <w:r w:rsidRPr="0002382D">
        <w:rPr>
          <w:sz w:val="20"/>
          <w:szCs w:val="23"/>
          <w:lang w:val="it-IT"/>
        </w:rPr>
        <w:t xml:space="preserve">, 147–164.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Dostal J., Coulon C., and C. Dupuy (1982), Cainozoic andesitic rocks of Sardinia (Italy), in: Andesites, orogenic andesites and related rocks, ed. R.S. Thorpe, John Wiley &amp; Sons, Chichester, United Kingdom, 353-370.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lastRenderedPageBreak/>
        <w:t xml:space="preserve">Downes, H., Thirlwall, M.F. and S.C. Trayhorn (2001), Miocene subduction-related magmatism in southern Sardinia: Sr-Nd- and oxygen isotopic evidence for mantle source enrichment, </w:t>
      </w:r>
      <w:r w:rsidRPr="0002382D">
        <w:rPr>
          <w:rFonts w:ascii="Times New Roman" w:hAnsi="Times New Roman" w:cs="Times New Roman"/>
          <w:i/>
          <w:szCs w:val="22"/>
          <w:lang w:val="en-GB"/>
        </w:rPr>
        <w:t>Journal of Volcanology and Geothermal Research, 106</w:t>
      </w:r>
      <w:r w:rsidRPr="0002382D">
        <w:rPr>
          <w:rFonts w:ascii="Times New Roman" w:hAnsi="Times New Roman" w:cs="Times New Roman"/>
          <w:szCs w:val="22"/>
          <w:lang w:val="en-GB"/>
        </w:rPr>
        <w:t xml:space="preserve">, 1-21. </w:t>
      </w:r>
    </w:p>
    <w:p w:rsidR="007B6DBD" w:rsidRPr="0002382D" w:rsidRDefault="007B6DBD" w:rsidP="007B6DBD">
      <w:pPr>
        <w:pStyle w:val="Testonormale"/>
        <w:spacing w:line="240" w:lineRule="auto"/>
        <w:ind w:hanging="284"/>
        <w:jc w:val="both"/>
        <w:rPr>
          <w:rFonts w:ascii="Times New Roman" w:hAnsi="Times New Roman" w:cs="Times New Roman"/>
          <w:color w:val="000000"/>
          <w:szCs w:val="22"/>
          <w:lang w:val="en-GB"/>
        </w:rPr>
      </w:pPr>
      <w:r w:rsidRPr="0002382D">
        <w:rPr>
          <w:rFonts w:ascii="Times New Roman" w:hAnsi="Times New Roman" w:cs="Times New Roman"/>
          <w:color w:val="000000"/>
          <w:szCs w:val="22"/>
          <w:lang w:val="en-GB"/>
        </w:rPr>
        <w:t xml:space="preserve">Duggen S., Hoernle K., van den Bogaard P., Harris C. (2004), Magmatic evolution of the Alboran region: The role of subduction in forming the western Mediterranean and causing the Messinian Salinity Crisis, </w:t>
      </w:r>
      <w:r w:rsidRPr="0002382D">
        <w:rPr>
          <w:rFonts w:ascii="Times New Roman" w:hAnsi="Times New Roman" w:cs="Times New Roman"/>
          <w:i/>
          <w:iCs/>
          <w:color w:val="231F20"/>
          <w:szCs w:val="22"/>
          <w:lang w:val="en-GB"/>
        </w:rPr>
        <w:t>Earth Planet. Scie. Lett.</w:t>
      </w:r>
      <w:r w:rsidRPr="0002382D">
        <w:rPr>
          <w:rFonts w:ascii="Times New Roman" w:hAnsi="Times New Roman" w:cs="Times New Roman"/>
          <w:i/>
          <w:color w:val="000000"/>
          <w:szCs w:val="22"/>
          <w:lang w:val="en-GB"/>
        </w:rPr>
        <w:t xml:space="preserve"> 218</w:t>
      </w:r>
      <w:r w:rsidRPr="0002382D">
        <w:rPr>
          <w:rFonts w:ascii="Times New Roman" w:hAnsi="Times New Roman" w:cs="Times New Roman"/>
          <w:color w:val="000000"/>
          <w:szCs w:val="22"/>
          <w:lang w:val="en-GB"/>
        </w:rPr>
        <w:t xml:space="preserve">, 91-108.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El Azzouzi M., Bernard-Griffith J., Bellon H., Maury R.C., and 4 others, (1999), Evolution des sources du volcanism marocain au cours du Neogene, </w:t>
      </w:r>
      <w:r w:rsidRPr="0002382D">
        <w:rPr>
          <w:rFonts w:ascii="Times New Roman" w:hAnsi="Times New Roman" w:cs="Times New Roman"/>
          <w:i/>
          <w:iCs/>
          <w:szCs w:val="22"/>
          <w:lang w:val="en-GB"/>
        </w:rPr>
        <w:t>Comptes Rendu Academie des Sciences, Paris</w:t>
      </w:r>
      <w:r w:rsidRPr="0002382D">
        <w:rPr>
          <w:rFonts w:ascii="Times New Roman" w:hAnsi="Times New Roman" w:cs="Times New Roman"/>
          <w:i/>
          <w:szCs w:val="22"/>
          <w:lang w:val="en-GB"/>
        </w:rPr>
        <w:t xml:space="preserve"> (terre e planetes), </w:t>
      </w:r>
      <w:r w:rsidRPr="0002382D">
        <w:rPr>
          <w:rFonts w:ascii="Times New Roman" w:hAnsi="Times New Roman" w:cs="Times New Roman"/>
          <w:bCs/>
          <w:i/>
          <w:szCs w:val="22"/>
          <w:lang w:val="en-GB"/>
        </w:rPr>
        <w:t>329</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 95-102.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El Bakkali, S., A. Gourgaud, J. L. Bourdier, and N. Gundogdu (1998), Post-collision neogene volcanism of the Eastern Rif (Morocco): Magmatic evolution through time, Lithos, 45, 523 – 543. </w:t>
      </w:r>
    </w:p>
    <w:p w:rsidR="007B6DBD" w:rsidRPr="0002382D" w:rsidRDefault="007B6DBD" w:rsidP="007B6DBD">
      <w:pPr>
        <w:spacing w:line="240" w:lineRule="auto"/>
        <w:ind w:hanging="284"/>
        <w:rPr>
          <w:sz w:val="20"/>
          <w:szCs w:val="22"/>
        </w:rPr>
      </w:pPr>
      <w:r w:rsidRPr="0002382D">
        <w:rPr>
          <w:sz w:val="20"/>
          <w:szCs w:val="22"/>
        </w:rPr>
        <w:t xml:space="preserve">Ellam, R. M., M. A. Menzies, C. J. Hawkesworth, and N. W. Rogers (1989), The volcanism of southern Italy: Role of subduction and the relationship between potassic and sodic alkaline magmatism, </w:t>
      </w:r>
      <w:r w:rsidRPr="0002382D">
        <w:rPr>
          <w:i/>
          <w:sz w:val="20"/>
          <w:szCs w:val="22"/>
        </w:rPr>
        <w:t>J. Geophys. Res., 94</w:t>
      </w:r>
      <w:r w:rsidRPr="0002382D">
        <w:rPr>
          <w:sz w:val="20"/>
          <w:szCs w:val="22"/>
        </w:rPr>
        <w:t xml:space="preserve">, 4589 – 4601. </w:t>
      </w:r>
    </w:p>
    <w:p w:rsidR="007B6DBD" w:rsidRPr="0002382D" w:rsidRDefault="007B6DBD" w:rsidP="007B6DBD">
      <w:pPr>
        <w:spacing w:line="240" w:lineRule="auto"/>
        <w:ind w:hanging="284"/>
        <w:rPr>
          <w:sz w:val="20"/>
          <w:szCs w:val="23"/>
        </w:rPr>
      </w:pPr>
      <w:r w:rsidRPr="0002382D">
        <w:rPr>
          <w:sz w:val="20"/>
          <w:szCs w:val="23"/>
        </w:rPr>
        <w:t xml:space="preserve">Faccenna C., Piromallo C., Crespo-Blanc A., Jolivet L. and F. Rossetti (2004), Lateral slab deformation and the origin of the western Mediterranean arcs, </w:t>
      </w:r>
      <w:r w:rsidRPr="0002382D">
        <w:rPr>
          <w:i/>
          <w:sz w:val="20"/>
          <w:szCs w:val="23"/>
        </w:rPr>
        <w:t>Tectonics, 23</w:t>
      </w:r>
      <w:r w:rsidRPr="0002382D">
        <w:rPr>
          <w:sz w:val="20"/>
          <w:szCs w:val="23"/>
        </w:rPr>
        <w:t xml:space="preserve">, 21 pages, TC1012, doi:10.1029/2002TC001488. </w:t>
      </w:r>
    </w:p>
    <w:p w:rsidR="007B6DBD" w:rsidRPr="0002382D" w:rsidRDefault="007B6DBD" w:rsidP="007B6DBD">
      <w:pPr>
        <w:spacing w:line="240" w:lineRule="auto"/>
        <w:ind w:hanging="284"/>
        <w:rPr>
          <w:sz w:val="20"/>
          <w:szCs w:val="23"/>
        </w:rPr>
      </w:pPr>
      <w:r w:rsidRPr="0002382D">
        <w:rPr>
          <w:sz w:val="20"/>
          <w:szCs w:val="23"/>
        </w:rPr>
        <w:t xml:space="preserve">Faccenna C., Funiciello F., Civetta L., D’Antonio M., Moroni M. and C. Piromallo (2007), Slab disruption, mantle circulation, and the opening of the Tyrrhenian basins, </w:t>
      </w:r>
      <w:r w:rsidRPr="0002382D">
        <w:rPr>
          <w:i/>
          <w:sz w:val="20"/>
          <w:szCs w:val="23"/>
        </w:rPr>
        <w:t>in</w:t>
      </w:r>
      <w:r w:rsidRPr="0002382D">
        <w:rPr>
          <w:sz w:val="20"/>
          <w:szCs w:val="23"/>
        </w:rPr>
        <w:t xml:space="preserve"> Beccaluva </w:t>
      </w:r>
      <w:r w:rsidRPr="0002382D">
        <w:rPr>
          <w:color w:val="231F20"/>
          <w:sz w:val="20"/>
          <w:szCs w:val="23"/>
        </w:rPr>
        <w:t>L.</w:t>
      </w:r>
      <w:r w:rsidRPr="0002382D">
        <w:rPr>
          <w:sz w:val="20"/>
          <w:szCs w:val="23"/>
        </w:rPr>
        <w:t>, Bianchini G., and Wilson M., eds., Cenozoic Volcanism in the Mediterranean Area</w:t>
      </w:r>
      <w:r w:rsidRPr="0002382D">
        <w:rPr>
          <w:i/>
          <w:sz w:val="20"/>
          <w:szCs w:val="23"/>
        </w:rPr>
        <w:t>: GSA, Special Paper 418</w:t>
      </w:r>
      <w:r w:rsidRPr="0002382D">
        <w:rPr>
          <w:sz w:val="20"/>
          <w:szCs w:val="23"/>
        </w:rPr>
        <w:t xml:space="preserve">, 153-169. </w:t>
      </w:r>
    </w:p>
    <w:p w:rsidR="007B6DBD" w:rsidRPr="0002382D" w:rsidRDefault="007B6DBD" w:rsidP="007B6DBD">
      <w:pPr>
        <w:spacing w:line="240" w:lineRule="auto"/>
        <w:ind w:hanging="284"/>
        <w:rPr>
          <w:sz w:val="20"/>
          <w:szCs w:val="22"/>
        </w:rPr>
      </w:pPr>
      <w:r w:rsidRPr="0002382D">
        <w:rPr>
          <w:sz w:val="20"/>
          <w:szCs w:val="22"/>
        </w:rPr>
        <w:t>Faggioni O., Pinna E., Savelli C. and A.A. Schreider (1995), Geomagnetism and age study of Tyrrhenian seamounts</w:t>
      </w:r>
      <w:r w:rsidRPr="0002382D">
        <w:rPr>
          <w:i/>
          <w:sz w:val="20"/>
          <w:szCs w:val="22"/>
        </w:rPr>
        <w:t xml:space="preserve">, </w:t>
      </w:r>
      <w:r w:rsidRPr="0002382D">
        <w:rPr>
          <w:bCs/>
          <w:i/>
          <w:sz w:val="20"/>
          <w:szCs w:val="22"/>
        </w:rPr>
        <w:t>Geophys. J. Intern</w:t>
      </w:r>
      <w:r w:rsidRPr="0002382D">
        <w:rPr>
          <w:i/>
          <w:sz w:val="20"/>
          <w:szCs w:val="22"/>
        </w:rPr>
        <w:t>., 123,</w:t>
      </w:r>
      <w:r w:rsidRPr="0002382D">
        <w:rPr>
          <w:sz w:val="20"/>
          <w:szCs w:val="22"/>
        </w:rPr>
        <w:t xml:space="preserve"> 915-930.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Faugeres J.C., Broquet P., Duée G. and P. Imbert (1992), Episodes volcano-sedimentaires et paleo-courants dans le Numidien externe de Sicile: les tuffites et contourites de Karsa, </w:t>
      </w:r>
      <w:r w:rsidRPr="0002382D">
        <w:rPr>
          <w:rFonts w:ascii="Times New Roman" w:hAnsi="Times New Roman" w:cs="Times New Roman"/>
          <w:i/>
          <w:szCs w:val="22"/>
          <w:lang w:val="en-GB"/>
        </w:rPr>
        <w:t>Comptes Rendus Academie des Sciences Paris, 315</w:t>
      </w:r>
      <w:r w:rsidRPr="0002382D">
        <w:rPr>
          <w:rFonts w:ascii="Times New Roman" w:hAnsi="Times New Roman" w:cs="Times New Roman"/>
          <w:szCs w:val="22"/>
          <w:lang w:val="en-GB"/>
        </w:rPr>
        <w:t xml:space="preserve">, 479-486. </w:t>
      </w:r>
    </w:p>
    <w:p w:rsidR="007B6DBD" w:rsidRPr="0002382D" w:rsidRDefault="007B6DBD" w:rsidP="007B6DBD">
      <w:pPr>
        <w:spacing w:line="240" w:lineRule="auto"/>
        <w:ind w:hanging="284"/>
        <w:rPr>
          <w:sz w:val="20"/>
          <w:szCs w:val="22"/>
        </w:rPr>
      </w:pPr>
      <w:r w:rsidRPr="0002382D">
        <w:rPr>
          <w:sz w:val="20"/>
          <w:szCs w:val="22"/>
        </w:rPr>
        <w:t xml:space="preserve">Fourcade, S., Capdevila, R., Aziouz, O., Martineau, F., (2001), The origin and geodynamic significance of the Alpine cordierite-bearing granitoids of northern Algeria. A combined petrological, mineralogical, geochemical and isotopic (O, H, Sr, Nd) study, </w:t>
      </w:r>
      <w:r w:rsidRPr="0002382D">
        <w:rPr>
          <w:i/>
          <w:sz w:val="20"/>
          <w:szCs w:val="22"/>
        </w:rPr>
        <w:t>Lithos</w:t>
      </w:r>
      <w:r w:rsidRPr="0002382D">
        <w:rPr>
          <w:sz w:val="20"/>
          <w:szCs w:val="22"/>
        </w:rPr>
        <w:t xml:space="preserve">, </w:t>
      </w:r>
      <w:r w:rsidRPr="0002382D">
        <w:rPr>
          <w:i/>
          <w:sz w:val="20"/>
          <w:szCs w:val="22"/>
        </w:rPr>
        <w:t>57/2-3</w:t>
      </w:r>
      <w:r w:rsidRPr="0002382D">
        <w:rPr>
          <w:sz w:val="20"/>
          <w:szCs w:val="22"/>
        </w:rPr>
        <w:t xml:space="preserve">, 187-216. </w:t>
      </w:r>
    </w:p>
    <w:p w:rsidR="007B6DBD" w:rsidRPr="00564975"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Francalanci L. and P. Manetti (1994), Geodynamic models of the southern Tyrrhenian region: constraints from the petrology and geochemistry of the Aeolian volcanic rocks. </w:t>
      </w:r>
      <w:r w:rsidRPr="00564975">
        <w:rPr>
          <w:rFonts w:ascii="Times New Roman" w:hAnsi="Times New Roman" w:cs="Times New Roman"/>
          <w:i/>
          <w:iCs/>
          <w:szCs w:val="22"/>
          <w:lang w:val="en-GB"/>
        </w:rPr>
        <w:t>Bollettino Geofisica Teorica e Appllicata</w:t>
      </w:r>
      <w:r w:rsidRPr="00564975">
        <w:rPr>
          <w:rFonts w:ascii="Times New Roman" w:hAnsi="Times New Roman" w:cs="Times New Roman"/>
          <w:iCs/>
          <w:szCs w:val="22"/>
          <w:lang w:val="en-GB"/>
        </w:rPr>
        <w:t>,</w:t>
      </w:r>
      <w:r w:rsidRPr="00564975">
        <w:rPr>
          <w:rFonts w:ascii="Times New Roman" w:hAnsi="Times New Roman" w:cs="Times New Roman"/>
          <w:szCs w:val="22"/>
          <w:lang w:val="en-GB"/>
        </w:rPr>
        <w:t xml:space="preserve"> </w:t>
      </w:r>
      <w:r w:rsidRPr="00564975">
        <w:rPr>
          <w:rFonts w:ascii="Times New Roman" w:hAnsi="Times New Roman" w:cs="Times New Roman"/>
          <w:bCs/>
          <w:szCs w:val="22"/>
          <w:lang w:val="en-GB"/>
        </w:rPr>
        <w:t>36/</w:t>
      </w:r>
      <w:r w:rsidRPr="00564975">
        <w:rPr>
          <w:rFonts w:ascii="Times New Roman" w:hAnsi="Times New Roman" w:cs="Times New Roman"/>
          <w:szCs w:val="22"/>
          <w:lang w:val="en-GB"/>
        </w:rPr>
        <w:t xml:space="preserve">141-144, 283-292. </w:t>
      </w:r>
    </w:p>
    <w:p w:rsidR="007B6DBD" w:rsidRPr="0002382D" w:rsidRDefault="007B6DBD" w:rsidP="007B6DBD">
      <w:pPr>
        <w:spacing w:line="240" w:lineRule="auto"/>
        <w:ind w:hanging="284"/>
        <w:rPr>
          <w:sz w:val="20"/>
          <w:szCs w:val="22"/>
        </w:rPr>
      </w:pPr>
      <w:r w:rsidRPr="0002382D">
        <w:rPr>
          <w:sz w:val="20"/>
          <w:szCs w:val="22"/>
        </w:rPr>
        <w:t xml:space="preserve">Franciosi L., Lustrino M., Melluso M. and M. D’Antonio (2003), Geochemical characteristics and mantle sources of the Oligo-Miocene primitive basalts from Sardinia: the role of subduction components, </w:t>
      </w:r>
      <w:r w:rsidRPr="0002382D">
        <w:rPr>
          <w:i/>
          <w:sz w:val="20"/>
          <w:szCs w:val="22"/>
        </w:rPr>
        <w:t>Ofioliti, 28/2</w:t>
      </w:r>
      <w:r w:rsidRPr="0002382D">
        <w:rPr>
          <w:sz w:val="20"/>
          <w:szCs w:val="22"/>
        </w:rPr>
        <w:t xml:space="preserve">, 105-114. </w:t>
      </w:r>
    </w:p>
    <w:p w:rsidR="007B6DBD" w:rsidRPr="0002382D" w:rsidRDefault="007B6DBD" w:rsidP="007B6DBD">
      <w:pPr>
        <w:spacing w:line="240" w:lineRule="auto"/>
        <w:ind w:hanging="284"/>
        <w:rPr>
          <w:sz w:val="20"/>
          <w:szCs w:val="22"/>
        </w:rPr>
      </w:pPr>
      <w:r w:rsidRPr="0002382D">
        <w:rPr>
          <w:rFonts w:eastAsia="Calibri"/>
          <w:sz w:val="20"/>
          <w:szCs w:val="22"/>
          <w:lang w:eastAsia="en-US"/>
        </w:rPr>
        <w:t>Gasperini, D., J. Blichert-Toft, D. Bosch, A. Del Moro, P. Macera, and F. Albare`de (</w:t>
      </w:r>
      <w:r w:rsidRPr="0002382D">
        <w:rPr>
          <w:sz w:val="20"/>
          <w:szCs w:val="22"/>
        </w:rPr>
        <w:t xml:space="preserve">2002), </w:t>
      </w:r>
      <w:r w:rsidRPr="0002382D">
        <w:rPr>
          <w:rFonts w:eastAsia="Calibri"/>
          <w:sz w:val="20"/>
          <w:szCs w:val="22"/>
          <w:lang w:eastAsia="en-US"/>
        </w:rPr>
        <w:t xml:space="preserve">Upwelling of deep mantle material through a plate window: Evidence from the geochemistry of Italian basaltic volcanics, J. Geophys. Res., 107(B12), 2367, </w:t>
      </w:r>
      <w:r w:rsidRPr="0002382D">
        <w:rPr>
          <w:sz w:val="20"/>
          <w:szCs w:val="22"/>
        </w:rPr>
        <w:t xml:space="preserve">doi:10.1029/2001JB000418. </w:t>
      </w:r>
    </w:p>
    <w:p w:rsidR="007B6DBD" w:rsidRPr="0002382D" w:rsidRDefault="007B6DBD" w:rsidP="007B6DBD">
      <w:pPr>
        <w:spacing w:line="240" w:lineRule="auto"/>
        <w:ind w:hanging="284"/>
        <w:rPr>
          <w:sz w:val="20"/>
          <w:szCs w:val="22"/>
        </w:rPr>
      </w:pPr>
      <w:r w:rsidRPr="0002382D">
        <w:rPr>
          <w:sz w:val="20"/>
          <w:szCs w:val="22"/>
        </w:rPr>
        <w:t xml:space="preserve">Gattacceca, J., Deino, A., Rizzo, R., Jones, D.S., Henry, B., Beaudoin, B. and F. Vadeboin (2007), Miocene rotation of Sardinia: New paleomagnetic and geochronological constraints and geodynamic implications, </w:t>
      </w:r>
      <w:r w:rsidRPr="0002382D">
        <w:rPr>
          <w:i/>
          <w:sz w:val="20"/>
          <w:szCs w:val="22"/>
        </w:rPr>
        <w:t>Earth and Planetary Science Letters, 258/3-4</w:t>
      </w:r>
      <w:r w:rsidRPr="0002382D">
        <w:rPr>
          <w:sz w:val="20"/>
          <w:szCs w:val="22"/>
        </w:rPr>
        <w:t xml:space="preserve">, 359-377.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Gill, R.C.O., Aparicio A., El Azzouzi M., Hernandez J., Thirlwalla, M.F., Bourgoise J. and Marriner G.F. (2004), Depleted arc volcanism in the Alboran Sea and shoshonitic volcanism in Morocco: geochemical and isotopic constraints on Neogene tectonic processes, </w:t>
      </w:r>
      <w:r w:rsidRPr="0002382D">
        <w:rPr>
          <w:rFonts w:ascii="Times New Roman" w:hAnsi="Times New Roman" w:cs="Times New Roman"/>
          <w:i/>
          <w:szCs w:val="22"/>
          <w:lang w:val="en-GB"/>
        </w:rPr>
        <w:t>Lithos, 78</w:t>
      </w:r>
      <w:r w:rsidRPr="0002382D">
        <w:rPr>
          <w:rFonts w:ascii="Times New Roman" w:hAnsi="Times New Roman" w:cs="Times New Roman"/>
          <w:szCs w:val="22"/>
          <w:lang w:val="en-GB"/>
        </w:rPr>
        <w:t xml:space="preserve">, 363– 388.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Gueguen E., Doglioni C. and M. Fernandez (1997), Lithospheric boudinage in the western Mediterranean back-arc basin, </w:t>
      </w:r>
      <w:r w:rsidRPr="0002382D">
        <w:rPr>
          <w:rFonts w:ascii="Times New Roman" w:hAnsi="Times New Roman" w:cs="Times New Roman"/>
          <w:i/>
          <w:iCs/>
          <w:szCs w:val="23"/>
          <w:lang w:val="en-GB"/>
        </w:rPr>
        <w:t>Terra Nova,</w:t>
      </w:r>
      <w:r w:rsidRPr="0002382D">
        <w:rPr>
          <w:rFonts w:ascii="Times New Roman" w:hAnsi="Times New Roman" w:cs="Times New Roman"/>
          <w:i/>
          <w:szCs w:val="23"/>
          <w:lang w:val="en-GB"/>
        </w:rPr>
        <w:t xml:space="preserve"> </w:t>
      </w:r>
      <w:r w:rsidRPr="0002382D">
        <w:rPr>
          <w:rFonts w:ascii="Times New Roman" w:hAnsi="Times New Roman" w:cs="Times New Roman"/>
          <w:bCs/>
          <w:i/>
          <w:szCs w:val="23"/>
          <w:lang w:val="en-GB"/>
        </w:rPr>
        <w:t>9</w:t>
      </w:r>
      <w:r w:rsidRPr="0002382D">
        <w:rPr>
          <w:rFonts w:ascii="Times New Roman" w:hAnsi="Times New Roman" w:cs="Times New Roman"/>
          <w:bCs/>
          <w:szCs w:val="23"/>
          <w:lang w:val="en-GB"/>
        </w:rPr>
        <w:t>,</w:t>
      </w:r>
      <w:r w:rsidRPr="0002382D">
        <w:rPr>
          <w:rFonts w:ascii="Times New Roman" w:hAnsi="Times New Roman" w:cs="Times New Roman"/>
          <w:szCs w:val="23"/>
          <w:lang w:val="en-GB"/>
        </w:rPr>
        <w:t xml:space="preserve"> 184-187. </w:t>
      </w:r>
    </w:p>
    <w:p w:rsidR="007B6DBD" w:rsidRPr="0002382D" w:rsidRDefault="007B6DBD" w:rsidP="007B6DBD">
      <w:pPr>
        <w:pStyle w:val="NormaleWeb"/>
        <w:spacing w:before="0" w:after="0" w:line="240" w:lineRule="auto"/>
        <w:ind w:hanging="284"/>
        <w:contextualSpacing/>
        <w:rPr>
          <w:sz w:val="20"/>
          <w:szCs w:val="23"/>
        </w:rPr>
      </w:pPr>
      <w:r w:rsidRPr="0002382D">
        <w:rPr>
          <w:bCs/>
          <w:sz w:val="20"/>
          <w:lang w:val="en-GB"/>
        </w:rPr>
        <w:t xml:space="preserve">Gueguen, E., </w:t>
      </w:r>
      <w:r w:rsidRPr="0002382D">
        <w:rPr>
          <w:sz w:val="20"/>
          <w:szCs w:val="23"/>
          <w:lang w:val="en-GB"/>
        </w:rPr>
        <w:t xml:space="preserve">Doglioni, C. &amp;. Fernandez M. On the post-25 Ma geodynamic evolution of the Western Mediterranean. </w:t>
      </w:r>
      <w:r w:rsidRPr="0002382D">
        <w:rPr>
          <w:iCs/>
          <w:sz w:val="20"/>
          <w:szCs w:val="23"/>
        </w:rPr>
        <w:t>Tectonophysics</w:t>
      </w:r>
      <w:r w:rsidRPr="0002382D">
        <w:rPr>
          <w:i/>
          <w:sz w:val="20"/>
          <w:szCs w:val="23"/>
        </w:rPr>
        <w:t xml:space="preserve">, </w:t>
      </w:r>
      <w:r w:rsidRPr="0002382D">
        <w:rPr>
          <w:b/>
          <w:bCs/>
          <w:sz w:val="20"/>
          <w:szCs w:val="23"/>
        </w:rPr>
        <w:t>298</w:t>
      </w:r>
      <w:r w:rsidRPr="0002382D">
        <w:rPr>
          <w:sz w:val="20"/>
          <w:szCs w:val="23"/>
        </w:rPr>
        <w:t>, 259-269</w:t>
      </w:r>
      <w:r w:rsidRPr="0002382D">
        <w:rPr>
          <w:bCs/>
          <w:sz w:val="20"/>
        </w:rPr>
        <w:t xml:space="preserve"> (1998).</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rPr>
        <w:t>Guerrera F., Tonelli G. Veneri F. (1986),</w:t>
      </w:r>
      <w:r w:rsidRPr="0002382D">
        <w:rPr>
          <w:rFonts w:ascii="Times New Roman" w:hAnsi="Times New Roman" w:cs="Times New Roman"/>
          <w:b/>
          <w:bCs/>
          <w:szCs w:val="22"/>
        </w:rPr>
        <w:t xml:space="preserve"> </w:t>
      </w:r>
      <w:r w:rsidRPr="0002382D">
        <w:rPr>
          <w:rFonts w:ascii="Times New Roman" w:hAnsi="Times New Roman" w:cs="Times New Roman"/>
          <w:szCs w:val="22"/>
        </w:rPr>
        <w:t>Caratteri lito-sedimentologici e mineralogico-petrografici di vulcanoclastiti mioceniche presenti nella Successione Umbro-Marchigiana</w:t>
      </w:r>
      <w:r w:rsidRPr="0002382D">
        <w:rPr>
          <w:rFonts w:ascii="Times New Roman" w:hAnsi="Times New Roman" w:cs="Times New Roman"/>
          <w:b/>
          <w:bCs/>
          <w:szCs w:val="22"/>
        </w:rPr>
        <w:t xml:space="preserve">, </w:t>
      </w:r>
      <w:r w:rsidRPr="0002382D">
        <w:rPr>
          <w:rFonts w:ascii="Times New Roman" w:hAnsi="Times New Roman" w:cs="Times New Roman"/>
          <w:i/>
          <w:iCs/>
          <w:szCs w:val="22"/>
        </w:rPr>
        <w:t xml:space="preserve">Boll. Soc. </w:t>
      </w:r>
      <w:r w:rsidRPr="0002382D">
        <w:rPr>
          <w:rFonts w:ascii="Times New Roman" w:hAnsi="Times New Roman" w:cs="Times New Roman"/>
          <w:i/>
          <w:iCs/>
          <w:szCs w:val="22"/>
          <w:lang w:val="en-GB"/>
        </w:rPr>
        <w:t>Geol. It.,</w:t>
      </w:r>
      <w:r w:rsidRPr="0002382D">
        <w:rPr>
          <w:rFonts w:ascii="Times New Roman" w:hAnsi="Times New Roman" w:cs="Times New Roman"/>
          <w:b/>
          <w:bCs/>
          <w:i/>
          <w:szCs w:val="22"/>
          <w:lang w:val="en-GB"/>
        </w:rPr>
        <w:t xml:space="preserve"> </w:t>
      </w:r>
      <w:r w:rsidRPr="0002382D">
        <w:rPr>
          <w:rFonts w:ascii="Times New Roman" w:hAnsi="Times New Roman" w:cs="Times New Roman"/>
          <w:bCs/>
          <w:i/>
          <w:szCs w:val="22"/>
          <w:lang w:val="en-GB"/>
        </w:rPr>
        <w:t>105</w:t>
      </w:r>
      <w:r w:rsidRPr="0002382D">
        <w:rPr>
          <w:rFonts w:ascii="Times New Roman" w:hAnsi="Times New Roman" w:cs="Times New Roman"/>
          <w:i/>
          <w:szCs w:val="22"/>
          <w:lang w:val="en-GB"/>
        </w:rPr>
        <w:t>/3-4</w:t>
      </w:r>
      <w:r w:rsidRPr="0002382D">
        <w:rPr>
          <w:rFonts w:ascii="Times New Roman" w:hAnsi="Times New Roman" w:cs="Times New Roman"/>
          <w:szCs w:val="22"/>
          <w:lang w:val="en-GB"/>
        </w:rPr>
        <w:t xml:space="preserve">, 307-325.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Guerrera F., Martin-Algarra A. and V. Perrone (1993), Late Oligocene-Miocene syn-late-orogenic successions in Western and Central Mediterranean Chains from the Betic Cordillera to the Southern Apennines, </w:t>
      </w:r>
      <w:r w:rsidRPr="0002382D">
        <w:rPr>
          <w:rFonts w:ascii="Times New Roman" w:hAnsi="Times New Roman" w:cs="Times New Roman"/>
          <w:i/>
          <w:iCs/>
          <w:szCs w:val="22"/>
          <w:lang w:val="en-GB"/>
        </w:rPr>
        <w:t>Terra Nova,</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5</w:t>
      </w:r>
      <w:r w:rsidRPr="0002382D">
        <w:rPr>
          <w:rFonts w:ascii="Times New Roman" w:hAnsi="Times New Roman" w:cs="Times New Roman"/>
          <w:szCs w:val="22"/>
          <w:lang w:val="en-GB"/>
        </w:rPr>
        <w:t xml:space="preserve">, 525-544.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Guerrera F., Mattioli M., Puglisi D., Renzulli A., Santi P., Veneri F., Assorgia A. and K. Balogh (1998),</w:t>
      </w:r>
      <w:r w:rsidRPr="0002382D">
        <w:rPr>
          <w:rFonts w:ascii="Times New Roman" w:hAnsi="Times New Roman" w:cs="Times New Roman"/>
          <w:b/>
          <w:bCs/>
          <w:szCs w:val="22"/>
          <w:lang w:val="en-GB"/>
        </w:rPr>
        <w:t xml:space="preserve"> </w:t>
      </w:r>
      <w:r w:rsidRPr="0002382D">
        <w:rPr>
          <w:rFonts w:ascii="Times New Roman" w:hAnsi="Times New Roman" w:cs="Times New Roman"/>
          <w:szCs w:val="22"/>
          <w:lang w:val="en-GB"/>
        </w:rPr>
        <w:t xml:space="preserve">An overview of the upper Oligocene-lower Miocene volcanogenic sediments in the Western Mediterranean and their possible source areas, </w:t>
      </w:r>
      <w:r w:rsidRPr="0002382D">
        <w:rPr>
          <w:rFonts w:ascii="Times New Roman" w:hAnsi="Times New Roman" w:cs="Times New Roman"/>
          <w:i/>
          <w:szCs w:val="22"/>
          <w:lang w:val="en-GB"/>
        </w:rPr>
        <w:t>Romanian Journal of Stratigraphy, 78</w:t>
      </w:r>
      <w:r w:rsidRPr="0002382D">
        <w:rPr>
          <w:rFonts w:ascii="Times New Roman" w:hAnsi="Times New Roman" w:cs="Times New Roman"/>
          <w:szCs w:val="22"/>
          <w:lang w:val="en-GB"/>
        </w:rPr>
        <w:t xml:space="preserve">, 43-56. </w:t>
      </w:r>
    </w:p>
    <w:p w:rsidR="007B6DBD" w:rsidRPr="0002382D" w:rsidRDefault="007B6DBD" w:rsidP="007B6DBD">
      <w:pPr>
        <w:pStyle w:val="Testonormale"/>
        <w:spacing w:line="240" w:lineRule="auto"/>
        <w:ind w:hanging="284"/>
        <w:jc w:val="both"/>
        <w:rPr>
          <w:rFonts w:ascii="Times New Roman" w:hAnsi="Times New Roman" w:cs="Times New Roman"/>
          <w:b/>
          <w:bCs/>
          <w:szCs w:val="23"/>
          <w:lang w:val="en-GB"/>
        </w:rPr>
      </w:pPr>
      <w:r w:rsidRPr="0002382D">
        <w:rPr>
          <w:rFonts w:ascii="Times New Roman" w:hAnsi="Times New Roman" w:cs="Times New Roman"/>
          <w:szCs w:val="23"/>
          <w:lang w:val="en-GB"/>
        </w:rPr>
        <w:t>Guerrera F., Mattioli M., Serrano F., Tramontana</w:t>
      </w:r>
      <w:r w:rsidRPr="0002382D">
        <w:rPr>
          <w:rFonts w:ascii="Times New Roman" w:hAnsi="Times New Roman" w:cs="Times New Roman"/>
          <w:szCs w:val="23"/>
          <w:vertAlign w:val="superscript"/>
          <w:lang w:val="en-GB"/>
        </w:rPr>
        <w:t xml:space="preserve">  </w:t>
      </w:r>
      <w:r w:rsidRPr="0002382D">
        <w:rPr>
          <w:rFonts w:ascii="Times New Roman" w:hAnsi="Times New Roman" w:cs="Times New Roman"/>
          <w:szCs w:val="23"/>
          <w:lang w:val="en-GB"/>
        </w:rPr>
        <w:t>M. and G.</w:t>
      </w:r>
      <w:r w:rsidRPr="0002382D">
        <w:rPr>
          <w:rFonts w:ascii="Times New Roman" w:hAnsi="Times New Roman" w:cs="Times New Roman"/>
          <w:b/>
          <w:bCs/>
          <w:szCs w:val="23"/>
          <w:lang w:val="en-GB"/>
        </w:rPr>
        <w:t xml:space="preserve"> </w:t>
      </w:r>
      <w:r w:rsidRPr="0002382D">
        <w:rPr>
          <w:rFonts w:ascii="Times New Roman" w:hAnsi="Times New Roman" w:cs="Times New Roman"/>
          <w:szCs w:val="23"/>
          <w:lang w:val="en-GB"/>
        </w:rPr>
        <w:t xml:space="preserve">Raffaelli </w:t>
      </w:r>
      <w:r w:rsidRPr="0002382D">
        <w:rPr>
          <w:rFonts w:ascii="Times New Roman" w:hAnsi="Times New Roman" w:cs="Times New Roman"/>
          <w:b/>
          <w:bCs/>
          <w:szCs w:val="23"/>
          <w:lang w:val="en-GB"/>
        </w:rPr>
        <w:t>(</w:t>
      </w:r>
      <w:r w:rsidRPr="0002382D">
        <w:rPr>
          <w:rFonts w:ascii="Times New Roman" w:hAnsi="Times New Roman" w:cs="Times New Roman"/>
          <w:szCs w:val="23"/>
          <w:lang w:val="en-GB"/>
        </w:rPr>
        <w:t>2004),</w:t>
      </w:r>
      <w:r w:rsidRPr="0002382D">
        <w:rPr>
          <w:rFonts w:ascii="Times New Roman" w:hAnsi="Times New Roman" w:cs="Times New Roman"/>
          <w:b/>
          <w:bCs/>
          <w:szCs w:val="23"/>
          <w:lang w:val="en-GB"/>
        </w:rPr>
        <w:t xml:space="preserve"> </w:t>
      </w:r>
      <w:r w:rsidRPr="0002382D">
        <w:rPr>
          <w:rFonts w:ascii="Times New Roman" w:hAnsi="Times New Roman" w:cs="Times New Roman"/>
          <w:szCs w:val="23"/>
          <w:lang w:val="en-GB"/>
        </w:rPr>
        <w:t>Stratigraphy of the Miocene syn-rift volcano-sedimentary succession in a sector of the central-southern Sardinia trough (Italy),</w:t>
      </w:r>
      <w:r w:rsidRPr="0002382D">
        <w:rPr>
          <w:rFonts w:ascii="Times New Roman" w:hAnsi="Times New Roman" w:cs="Times New Roman"/>
          <w:b/>
          <w:bCs/>
          <w:szCs w:val="23"/>
          <w:lang w:val="en-GB"/>
        </w:rPr>
        <w:t xml:space="preserve"> </w:t>
      </w:r>
      <w:r w:rsidRPr="0002382D">
        <w:rPr>
          <w:rFonts w:ascii="Times New Roman" w:hAnsi="Times New Roman" w:cs="Times New Roman"/>
          <w:i/>
          <w:szCs w:val="23"/>
          <w:lang w:val="en-GB"/>
        </w:rPr>
        <w:t>Geologica Carpathica – International Geological Journal,</w:t>
      </w:r>
      <w:r w:rsidRPr="0002382D">
        <w:rPr>
          <w:rFonts w:ascii="Times New Roman" w:hAnsi="Times New Roman" w:cs="Times New Roman"/>
          <w:bCs/>
          <w:i/>
          <w:szCs w:val="23"/>
          <w:lang w:val="en-GB"/>
        </w:rPr>
        <w:t xml:space="preserve"> </w:t>
      </w:r>
      <w:r w:rsidRPr="0002382D">
        <w:rPr>
          <w:rFonts w:ascii="Times New Roman" w:hAnsi="Times New Roman" w:cs="Times New Roman"/>
          <w:i/>
          <w:szCs w:val="23"/>
          <w:lang w:val="en-GB"/>
        </w:rPr>
        <w:t>55/1,</w:t>
      </w:r>
      <w:r w:rsidRPr="0002382D">
        <w:rPr>
          <w:rFonts w:ascii="Times New Roman" w:hAnsi="Times New Roman" w:cs="Times New Roman"/>
          <w:b/>
          <w:bCs/>
          <w:szCs w:val="23"/>
          <w:lang w:val="en-GB"/>
        </w:rPr>
        <w:t xml:space="preserve"> </w:t>
      </w:r>
      <w:r w:rsidRPr="0002382D">
        <w:rPr>
          <w:rFonts w:ascii="Times New Roman" w:hAnsi="Times New Roman" w:cs="Times New Roman"/>
          <w:szCs w:val="23"/>
          <w:lang w:val="en-GB"/>
        </w:rPr>
        <w:t xml:space="preserve">51-63.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Guerrera F., Martin-Martin M., Perrone V. and M. Tramontana (2005), Tectono-sedimentary evolution of the southern branch of the Western Tethys (Magrebian Flysch Basin and Lucanian Ocean), </w:t>
      </w:r>
      <w:r w:rsidRPr="0002382D">
        <w:rPr>
          <w:rFonts w:ascii="Times New Roman" w:hAnsi="Times New Roman" w:cs="Times New Roman"/>
          <w:i/>
          <w:szCs w:val="23"/>
          <w:lang w:val="en-GB"/>
        </w:rPr>
        <w:t>Terra Nova, 17</w:t>
      </w:r>
      <w:r w:rsidRPr="0002382D">
        <w:rPr>
          <w:rFonts w:ascii="Times New Roman" w:hAnsi="Times New Roman" w:cs="Times New Roman"/>
          <w:szCs w:val="23"/>
          <w:lang w:val="en-GB"/>
        </w:rPr>
        <w:t>, 358-367.</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Guerrera F., Tramontana M., Donatelli U. and F. Serrano (2012), Space/time tectono-sedimentary evolution of the Umbria-Romagna-Marche Miocene Basin (Northern Apennines, Italy): a foredeep model, </w:t>
      </w:r>
      <w:r w:rsidRPr="0002382D">
        <w:rPr>
          <w:rFonts w:ascii="Times New Roman" w:hAnsi="Times New Roman" w:cs="Times New Roman"/>
          <w:i/>
          <w:szCs w:val="23"/>
          <w:lang w:val="en-GB"/>
        </w:rPr>
        <w:t>Swiss J Geosci</w:t>
      </w:r>
      <w:r w:rsidRPr="0002382D">
        <w:rPr>
          <w:rFonts w:ascii="Times New Roman" w:hAnsi="Times New Roman" w:cs="Times New Roman"/>
          <w:szCs w:val="23"/>
          <w:lang w:val="en-GB"/>
        </w:rPr>
        <w:t xml:space="preserve">, 105:325–341. DOI 10.1007/s00015-012-0118-0 </w:t>
      </w:r>
    </w:p>
    <w:p w:rsidR="007B6DBD" w:rsidRPr="0002382D" w:rsidRDefault="007B6DBD" w:rsidP="007B6DBD">
      <w:pPr>
        <w:pStyle w:val="Testonormale"/>
        <w:spacing w:line="240" w:lineRule="auto"/>
        <w:ind w:hanging="284"/>
        <w:jc w:val="both"/>
        <w:rPr>
          <w:rFonts w:ascii="Times New Roman" w:hAnsi="Times New Roman" w:cs="Times New Roman"/>
          <w:color w:val="231F20"/>
          <w:szCs w:val="23"/>
          <w:lang w:val="en-GB"/>
        </w:rPr>
      </w:pPr>
      <w:r w:rsidRPr="0002382D">
        <w:rPr>
          <w:rFonts w:ascii="Times New Roman" w:hAnsi="Times New Roman" w:cs="Times New Roman"/>
          <w:szCs w:val="23"/>
          <w:lang w:val="en-GB"/>
        </w:rPr>
        <w:t>Gutscher</w:t>
      </w:r>
      <w:r w:rsidRPr="0002382D">
        <w:rPr>
          <w:rFonts w:ascii="Times New Roman" w:hAnsi="Times New Roman" w:cs="Times New Roman"/>
          <w:color w:val="231F20"/>
          <w:szCs w:val="23"/>
          <w:lang w:val="en-GB"/>
        </w:rPr>
        <w:t xml:space="preserve"> M.-A., Malod J., Rehault J.-P., Contrucci I., Klingelhoefer F., Mendes-Victor L. and W. Spakman (2002), Evidence for active subduction beneath Gibraltar, </w:t>
      </w:r>
      <w:r w:rsidRPr="0002382D">
        <w:rPr>
          <w:rFonts w:ascii="Times New Roman" w:hAnsi="Times New Roman" w:cs="Times New Roman"/>
          <w:i/>
          <w:color w:val="231F20"/>
          <w:szCs w:val="23"/>
          <w:lang w:val="en-GB"/>
        </w:rPr>
        <w:t>Geology, 30</w:t>
      </w:r>
      <w:r w:rsidRPr="0002382D">
        <w:rPr>
          <w:rFonts w:ascii="Times New Roman" w:hAnsi="Times New Roman" w:cs="Times New Roman"/>
          <w:color w:val="231F20"/>
          <w:szCs w:val="23"/>
          <w:lang w:val="en-GB"/>
        </w:rPr>
        <w:t xml:space="preserve">, 1071–1074. </w:t>
      </w:r>
    </w:p>
    <w:p w:rsidR="007B6DBD" w:rsidRPr="0002382D" w:rsidRDefault="007B6DBD" w:rsidP="007B6DBD">
      <w:pPr>
        <w:spacing w:line="240" w:lineRule="auto"/>
        <w:ind w:hanging="284"/>
        <w:rPr>
          <w:sz w:val="20"/>
          <w:szCs w:val="22"/>
        </w:rPr>
      </w:pPr>
      <w:r w:rsidRPr="0002382D">
        <w:rPr>
          <w:sz w:val="20"/>
          <w:szCs w:val="22"/>
        </w:rPr>
        <w:t xml:space="preserve">Hawkesworth, C., S. Turner, K. Gallagher, A. Hunter, T. Bradshaw, and N. Rogers (1995), Calc-alkaline magmatism, lithospheric thinning and extension in the Basin and Range, </w:t>
      </w:r>
      <w:r w:rsidRPr="0002382D">
        <w:rPr>
          <w:i/>
          <w:iCs/>
          <w:sz w:val="20"/>
          <w:szCs w:val="22"/>
        </w:rPr>
        <w:t>J. Geophys. Res.</w:t>
      </w:r>
      <w:r w:rsidRPr="0002382D">
        <w:rPr>
          <w:sz w:val="20"/>
          <w:szCs w:val="22"/>
        </w:rPr>
        <w:t xml:space="preserve">, 100(B6), 10,271–10,286. </w:t>
      </w:r>
    </w:p>
    <w:p w:rsidR="007B6DBD" w:rsidRPr="0002382D" w:rsidRDefault="007B6DBD" w:rsidP="007B6DBD">
      <w:pPr>
        <w:pStyle w:val="Testonormale"/>
        <w:spacing w:line="240" w:lineRule="auto"/>
        <w:ind w:hanging="284"/>
        <w:jc w:val="both"/>
        <w:rPr>
          <w:rStyle w:val="doi"/>
          <w:rFonts w:ascii="Times New Roman" w:hAnsi="Times New Roman"/>
          <w:szCs w:val="23"/>
          <w:lang w:val="en-GB"/>
        </w:rPr>
      </w:pPr>
      <w:r w:rsidRPr="0002382D">
        <w:rPr>
          <w:rStyle w:val="authors"/>
          <w:rFonts w:ascii="Times New Roman" w:hAnsi="Times New Roman"/>
          <w:szCs w:val="23"/>
          <w:lang w:val="en-GB"/>
        </w:rPr>
        <w:t>Heymes, T. F., Bouillin J.P., Pecher A., Monie P., R. Compagnoni.</w:t>
      </w:r>
      <w:r w:rsidRPr="0002382D">
        <w:rPr>
          <w:rFonts w:ascii="Times New Roman" w:hAnsi="Times New Roman" w:cs="Times New Roman"/>
          <w:szCs w:val="23"/>
          <w:lang w:val="en-GB"/>
        </w:rPr>
        <w:t xml:space="preserve"> </w:t>
      </w:r>
      <w:r w:rsidRPr="0002382D">
        <w:rPr>
          <w:rStyle w:val="year"/>
          <w:rFonts w:ascii="Times New Roman" w:hAnsi="Times New Roman"/>
          <w:szCs w:val="23"/>
          <w:lang w:val="en-GB"/>
        </w:rPr>
        <w:t>2008.</w:t>
      </w:r>
      <w:r w:rsidRPr="0002382D">
        <w:rPr>
          <w:rFonts w:ascii="Times New Roman" w:hAnsi="Times New Roman" w:cs="Times New Roman"/>
          <w:szCs w:val="23"/>
          <w:lang w:val="en-GB"/>
        </w:rPr>
        <w:t xml:space="preserve"> </w:t>
      </w:r>
      <w:r w:rsidRPr="0002382D">
        <w:rPr>
          <w:rStyle w:val="title"/>
          <w:rFonts w:ascii="Times New Roman" w:hAnsi="Times New Roman"/>
          <w:szCs w:val="23"/>
          <w:lang w:val="en-GB"/>
        </w:rPr>
        <w:t>Middle Oligocene extension in the Mediterranean Calabro-Peloritan belt (Southern Italy). Insights from the Aspromonte nappes-pile</w:t>
      </w:r>
      <w:r w:rsidRPr="0002382D">
        <w:rPr>
          <w:rStyle w:val="comma"/>
          <w:rFonts w:ascii="Times New Roman" w:hAnsi="Times New Roman"/>
          <w:szCs w:val="23"/>
          <w:lang w:val="en-GB"/>
        </w:rPr>
        <w:t>.</w:t>
      </w:r>
      <w:r w:rsidRPr="0002382D">
        <w:rPr>
          <w:rFonts w:ascii="Times New Roman" w:hAnsi="Times New Roman" w:cs="Times New Roman"/>
          <w:szCs w:val="23"/>
          <w:lang w:val="en-GB"/>
        </w:rPr>
        <w:t xml:space="preserve"> </w:t>
      </w:r>
      <w:r w:rsidRPr="0002382D">
        <w:rPr>
          <w:rStyle w:val="journal"/>
          <w:rFonts w:ascii="Times New Roman" w:hAnsi="Times New Roman"/>
          <w:szCs w:val="23"/>
          <w:lang w:val="en-GB"/>
        </w:rPr>
        <w:t>Tectonics,</w:t>
      </w:r>
      <w:r w:rsidRPr="0002382D">
        <w:rPr>
          <w:rFonts w:ascii="Times New Roman" w:hAnsi="Times New Roman" w:cs="Times New Roman"/>
          <w:szCs w:val="23"/>
          <w:lang w:val="en-GB"/>
        </w:rPr>
        <w:t xml:space="preserve"> </w:t>
      </w:r>
      <w:r w:rsidRPr="0002382D">
        <w:rPr>
          <w:rStyle w:val="doi"/>
          <w:rFonts w:ascii="Times New Roman" w:hAnsi="Times New Roman"/>
          <w:szCs w:val="23"/>
          <w:lang w:val="en-GB"/>
        </w:rPr>
        <w:t xml:space="preserve">doi:10.1029/2007TC002157.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lastRenderedPageBreak/>
        <w:t xml:space="preserve">Hoernle K., v.d. Bogaard P., Duggen S., Mocek B. and D. Garbe-Schoenberg (1999), Evidence for Miocene subduction beneath the Alboran Sea: 40Ar/39 Ar dating and geochemistry of volcanic rocks from Holes 977A and 978A, in: R. Zahn, M.C. Comas, A. Klaus (Eds.), </w:t>
      </w:r>
      <w:r w:rsidRPr="0002382D">
        <w:rPr>
          <w:rFonts w:ascii="Times New Roman" w:hAnsi="Times New Roman" w:cs="Times New Roman"/>
          <w:i/>
          <w:szCs w:val="22"/>
          <w:lang w:val="en-GB"/>
        </w:rPr>
        <w:t>Proc. ODP Sci. Results, 161,</w:t>
      </w:r>
      <w:r w:rsidRPr="0002382D">
        <w:rPr>
          <w:rFonts w:ascii="Times New Roman" w:hAnsi="Times New Roman" w:cs="Times New Roman"/>
          <w:szCs w:val="22"/>
          <w:lang w:val="en-GB"/>
        </w:rPr>
        <w:t xml:space="preserve"> 357-373.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Hernandez J., De Larouziere F. D., Bolze J. and P.Bordet (1987), Le magmatisme Neogene betico-rifain et le couloir de decrochement trans-Alboran. </w:t>
      </w:r>
      <w:r w:rsidRPr="0002382D">
        <w:rPr>
          <w:rFonts w:ascii="Times New Roman" w:hAnsi="Times New Roman" w:cs="Times New Roman"/>
          <w:i/>
          <w:iCs/>
          <w:szCs w:val="22"/>
          <w:lang w:val="en-GB"/>
        </w:rPr>
        <w:t>Bulletin Societe’ Geologique de France,</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(8) III</w:t>
      </w:r>
      <w:r w:rsidRPr="0002382D">
        <w:rPr>
          <w:rFonts w:ascii="Times New Roman" w:hAnsi="Times New Roman" w:cs="Times New Roman"/>
          <w:i/>
          <w:szCs w:val="22"/>
          <w:lang w:val="en-GB"/>
        </w:rPr>
        <w:t>/2</w:t>
      </w:r>
      <w:r w:rsidRPr="0002382D">
        <w:rPr>
          <w:rFonts w:ascii="Times New Roman" w:hAnsi="Times New Roman" w:cs="Times New Roman"/>
          <w:szCs w:val="22"/>
          <w:lang w:val="en-GB"/>
        </w:rPr>
        <w:t xml:space="preserve">, 257-267.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Hooper, P. R., Bailey, D. G. and G. A. M. Holder (1995), Tertiary calc-alkaline magmatism associated with lithospheric extension in the Pacific Northwest, J. Geophys. Res., 100(B6), 10,303–10,319.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2"/>
          <w:lang w:val="en-GB"/>
        </w:rPr>
        <w:t xml:space="preserve">Kastens, </w:t>
      </w:r>
      <w:r w:rsidRPr="0002382D">
        <w:rPr>
          <w:rFonts w:ascii="Times New Roman" w:hAnsi="Times New Roman" w:cs="Times New Roman"/>
          <w:color w:val="231F20"/>
          <w:szCs w:val="22"/>
          <w:lang w:val="en-GB"/>
        </w:rPr>
        <w:t>K.,</w:t>
      </w:r>
      <w:r w:rsidRPr="0002382D">
        <w:rPr>
          <w:rFonts w:ascii="Times New Roman" w:hAnsi="Times New Roman" w:cs="Times New Roman"/>
          <w:szCs w:val="22"/>
          <w:lang w:val="en-GB"/>
        </w:rPr>
        <w:t xml:space="preserve"> Mascle, J., Auroux, C., Bonatti E., Broglia C., Channell J.E.T, Curzi P., Emeis K.C., Glason G., Hasegawa S., Hieke W., Mascle G., Mccoy F., Mckenzie, Mendelson, J., Mueller, C., Rehault, J-P., Robertson, A., Sartori, R., Sprovieri, R. &amp; Torii M. ODP Leg 107 in the Tyrrhenian Sea: Insigths into</w:t>
      </w:r>
      <w:r w:rsidRPr="0002382D">
        <w:rPr>
          <w:rFonts w:ascii="Times New Roman" w:hAnsi="Times New Roman" w:cs="Times New Roman"/>
          <w:szCs w:val="23"/>
          <w:lang w:val="en-GB"/>
        </w:rPr>
        <w:t xml:space="preserve"> passive margin and back-arc basin evolution, </w:t>
      </w:r>
      <w:r w:rsidRPr="0002382D">
        <w:rPr>
          <w:rFonts w:ascii="Times New Roman" w:hAnsi="Times New Roman" w:cs="Times New Roman"/>
          <w:i/>
          <w:iCs/>
          <w:szCs w:val="23"/>
          <w:lang w:val="en-GB"/>
        </w:rPr>
        <w:t>Geological Society of America Bulletin</w:t>
      </w:r>
      <w:r w:rsidRPr="0002382D">
        <w:rPr>
          <w:rFonts w:ascii="Times New Roman" w:hAnsi="Times New Roman" w:cs="Times New Roman"/>
          <w:i/>
          <w:szCs w:val="23"/>
          <w:lang w:val="en-GB"/>
        </w:rPr>
        <w:t xml:space="preserve">, </w:t>
      </w:r>
      <w:r w:rsidRPr="0002382D">
        <w:rPr>
          <w:rFonts w:ascii="Times New Roman" w:hAnsi="Times New Roman" w:cs="Times New Roman"/>
          <w:b/>
          <w:bCs/>
          <w:szCs w:val="23"/>
          <w:lang w:val="en-GB"/>
        </w:rPr>
        <w:t>100</w:t>
      </w:r>
      <w:r w:rsidRPr="0002382D">
        <w:rPr>
          <w:rFonts w:ascii="Times New Roman" w:hAnsi="Times New Roman" w:cs="Times New Roman"/>
          <w:szCs w:val="23"/>
          <w:lang w:val="en-GB"/>
        </w:rPr>
        <w:t xml:space="preserve">, 1140-1156 (1988).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Keller J.V.A., Minelli, G. and G. Pialli (1994), Anatomy of late orogenic extension: the northern Apennines case, </w:t>
      </w:r>
      <w:r w:rsidRPr="0002382D">
        <w:rPr>
          <w:rFonts w:ascii="Times New Roman" w:hAnsi="Times New Roman" w:cs="Times New Roman"/>
          <w:i/>
          <w:iCs/>
          <w:szCs w:val="23"/>
          <w:lang w:val="en-GB"/>
        </w:rPr>
        <w:t>Tectonophysics,</w:t>
      </w:r>
      <w:r w:rsidRPr="0002382D">
        <w:rPr>
          <w:rFonts w:ascii="Times New Roman" w:hAnsi="Times New Roman" w:cs="Times New Roman"/>
          <w:i/>
          <w:szCs w:val="23"/>
          <w:lang w:val="en-GB"/>
        </w:rPr>
        <w:t xml:space="preserve"> </w:t>
      </w:r>
      <w:r w:rsidRPr="0002382D">
        <w:rPr>
          <w:rFonts w:ascii="Times New Roman" w:hAnsi="Times New Roman" w:cs="Times New Roman"/>
          <w:bCs/>
          <w:i/>
          <w:szCs w:val="23"/>
          <w:lang w:val="en-GB"/>
        </w:rPr>
        <w:t>238</w:t>
      </w:r>
      <w:r w:rsidRPr="0002382D">
        <w:rPr>
          <w:rFonts w:ascii="Times New Roman" w:hAnsi="Times New Roman" w:cs="Times New Roman"/>
          <w:bCs/>
          <w:szCs w:val="23"/>
          <w:lang w:val="en-GB"/>
        </w:rPr>
        <w:t>,</w:t>
      </w:r>
      <w:r w:rsidRPr="0002382D">
        <w:rPr>
          <w:rFonts w:ascii="Times New Roman" w:hAnsi="Times New Roman" w:cs="Times New Roman"/>
          <w:szCs w:val="23"/>
          <w:lang w:val="en-GB"/>
        </w:rPr>
        <w:t xml:space="preserve"> 275–294. </w:t>
      </w:r>
    </w:p>
    <w:p w:rsidR="007B6DBD" w:rsidRPr="0002382D" w:rsidRDefault="007B6DBD" w:rsidP="007B6DBD">
      <w:pPr>
        <w:pStyle w:val="Testonormale"/>
        <w:spacing w:line="240" w:lineRule="auto"/>
        <w:ind w:hanging="284"/>
        <w:jc w:val="both"/>
        <w:rPr>
          <w:rStyle w:val="Enfasigrassetto"/>
          <w:rFonts w:ascii="Times New Roman" w:hAnsi="Times New Roman"/>
          <w:b w:val="0"/>
          <w:szCs w:val="23"/>
          <w:lang w:val="en-GB"/>
        </w:rPr>
      </w:pPr>
      <w:r w:rsidRPr="0002382D">
        <w:rPr>
          <w:rStyle w:val="Enfasigrassetto"/>
          <w:rFonts w:ascii="Times New Roman" w:hAnsi="Times New Roman"/>
          <w:b w:val="0"/>
          <w:szCs w:val="23"/>
          <w:lang w:val="en-GB"/>
        </w:rPr>
        <w:t xml:space="preserve">International Stratigraphic Chart (2009), International Commission on Stratigraphy (ICS–IUGS; </w:t>
      </w:r>
      <w:hyperlink r:id="rId30" w:history="1">
        <w:r w:rsidRPr="0002382D">
          <w:rPr>
            <w:rStyle w:val="Collegamentoipertestuale"/>
            <w:rFonts w:ascii="Times New Roman" w:hAnsi="Times New Roman" w:cs="Times New Roman"/>
            <w:szCs w:val="23"/>
            <w:lang w:val="en-GB"/>
          </w:rPr>
          <w:t>www.stratigraphy.org/</w:t>
        </w:r>
      </w:hyperlink>
      <w:r w:rsidRPr="0002382D">
        <w:rPr>
          <w:rStyle w:val="Enfasigrassetto"/>
          <w:rFonts w:ascii="Times New Roman" w:hAnsi="Times New Roman"/>
          <w:b w:val="0"/>
          <w:szCs w:val="23"/>
          <w:lang w:val="en-GB"/>
        </w:rPr>
        <w:t>).</w:t>
      </w:r>
    </w:p>
    <w:p w:rsidR="007B6DBD" w:rsidRPr="0002382D" w:rsidRDefault="007B6DBD" w:rsidP="007B6DBD">
      <w:pPr>
        <w:pStyle w:val="Testonormale"/>
        <w:spacing w:line="240" w:lineRule="auto"/>
        <w:ind w:hanging="284"/>
        <w:jc w:val="both"/>
        <w:rPr>
          <w:rFonts w:ascii="Times New Roman" w:hAnsi="Times New Roman" w:cs="Times New Roman"/>
          <w:color w:val="231F20"/>
          <w:szCs w:val="23"/>
          <w:lang w:val="en-GB"/>
        </w:rPr>
      </w:pPr>
      <w:r w:rsidRPr="0002382D">
        <w:rPr>
          <w:rFonts w:ascii="Times New Roman" w:hAnsi="Times New Roman" w:cs="Times New Roman"/>
          <w:color w:val="231F20"/>
          <w:szCs w:val="23"/>
          <w:lang w:val="en-GB"/>
        </w:rPr>
        <w:t xml:space="preserve">Lavecchia G. and F. Stoppa (1990), The Tyrrhenian zone: a case of lithosphere extension control of intra-continental magmatism, </w:t>
      </w:r>
      <w:r w:rsidRPr="0002382D">
        <w:rPr>
          <w:rFonts w:ascii="Times New Roman" w:hAnsi="Times New Roman" w:cs="Times New Roman"/>
          <w:i/>
          <w:iCs/>
          <w:szCs w:val="23"/>
          <w:lang w:val="en-GB"/>
        </w:rPr>
        <w:t>Earth Planetary Science Letters, 99</w:t>
      </w:r>
      <w:r w:rsidRPr="0002382D">
        <w:rPr>
          <w:rFonts w:ascii="Times New Roman" w:hAnsi="Times New Roman" w:cs="Times New Roman"/>
          <w:iCs/>
          <w:szCs w:val="23"/>
          <w:lang w:val="en-GB"/>
        </w:rPr>
        <w:t>, 336-350.</w:t>
      </w:r>
    </w:p>
    <w:p w:rsidR="007B6DBD" w:rsidRPr="0002382D" w:rsidRDefault="007B6DBD" w:rsidP="007B6DBD">
      <w:pPr>
        <w:pStyle w:val="Testonormale"/>
        <w:spacing w:line="240" w:lineRule="auto"/>
        <w:ind w:hanging="284"/>
        <w:jc w:val="both"/>
        <w:rPr>
          <w:rFonts w:ascii="Times New Roman" w:hAnsi="Times New Roman" w:cs="Times New Roman"/>
          <w:color w:val="231F20"/>
          <w:szCs w:val="23"/>
          <w:lang w:val="en-GB"/>
        </w:rPr>
      </w:pPr>
      <w:r w:rsidRPr="0002382D">
        <w:rPr>
          <w:rFonts w:ascii="Times New Roman" w:hAnsi="Times New Roman" w:cs="Times New Roman"/>
          <w:color w:val="231F20"/>
          <w:szCs w:val="23"/>
          <w:lang w:val="en-GB"/>
        </w:rPr>
        <w:t xml:space="preserve">Lavecchia G. and F. Stoppa (1996), The tectonic significance of Italian magmatism: an alternative view to the popular interpretation, </w:t>
      </w:r>
      <w:r w:rsidRPr="0002382D">
        <w:rPr>
          <w:rFonts w:ascii="Times New Roman" w:hAnsi="Times New Roman" w:cs="Times New Roman"/>
          <w:i/>
          <w:color w:val="231F20"/>
          <w:szCs w:val="23"/>
          <w:lang w:val="en-GB"/>
        </w:rPr>
        <w:t>Terra Nova</w:t>
      </w:r>
      <w:r w:rsidRPr="0002382D">
        <w:rPr>
          <w:rFonts w:ascii="Times New Roman" w:hAnsi="Times New Roman" w:cs="Times New Roman"/>
          <w:color w:val="231F20"/>
          <w:szCs w:val="23"/>
          <w:lang w:val="en-GB"/>
        </w:rPr>
        <w:t xml:space="preserve">, </w:t>
      </w:r>
      <w:r w:rsidRPr="0002382D">
        <w:rPr>
          <w:rFonts w:ascii="Times New Roman" w:hAnsi="Times New Roman" w:cs="Times New Roman"/>
          <w:i/>
          <w:color w:val="231F20"/>
          <w:szCs w:val="23"/>
          <w:lang w:val="en-GB"/>
        </w:rPr>
        <w:t>8</w:t>
      </w:r>
      <w:r w:rsidRPr="0002382D">
        <w:rPr>
          <w:rFonts w:ascii="Times New Roman" w:hAnsi="Times New Roman" w:cs="Times New Roman"/>
          <w:color w:val="231F20"/>
          <w:szCs w:val="23"/>
          <w:lang w:val="en-GB"/>
        </w:rPr>
        <w:t xml:space="preserve">, 435-446.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Le Pera E. and G. Ventura (1994), Geochemical features of the Gorgoglione flysch volcaniclastic detritus (Lucanian Apennines, southern italy), Miner. Petrogr. Acta, 37, 379-391. </w:t>
      </w:r>
    </w:p>
    <w:p w:rsidR="007B6DBD" w:rsidRPr="0002382D" w:rsidRDefault="007B6DBD" w:rsidP="007B6DBD">
      <w:pPr>
        <w:pStyle w:val="Testonormale"/>
        <w:spacing w:line="240" w:lineRule="auto"/>
        <w:ind w:hanging="284"/>
        <w:jc w:val="both"/>
        <w:rPr>
          <w:rFonts w:ascii="Times New Roman" w:hAnsi="Times New Roman" w:cs="Times New Roman"/>
          <w:color w:val="231F20"/>
          <w:szCs w:val="23"/>
          <w:lang w:val="en-GB"/>
        </w:rPr>
      </w:pPr>
      <w:r w:rsidRPr="0002382D">
        <w:rPr>
          <w:rFonts w:ascii="Times New Roman" w:hAnsi="Times New Roman" w:cs="Times New Roman"/>
          <w:szCs w:val="23"/>
          <w:lang w:val="en-GB"/>
        </w:rPr>
        <w:t>Lonergan</w:t>
      </w:r>
      <w:r w:rsidRPr="0002382D">
        <w:rPr>
          <w:rFonts w:ascii="Times New Roman" w:hAnsi="Times New Roman" w:cs="Times New Roman"/>
          <w:color w:val="231F20"/>
          <w:szCs w:val="23"/>
          <w:lang w:val="en-GB"/>
        </w:rPr>
        <w:t xml:space="preserve">, L. and N. White (1997), Origin of the Betic-Rif mountain belt, </w:t>
      </w:r>
      <w:r w:rsidRPr="0002382D">
        <w:rPr>
          <w:rFonts w:ascii="Times New Roman" w:hAnsi="Times New Roman" w:cs="Times New Roman"/>
          <w:i/>
          <w:color w:val="231F20"/>
          <w:szCs w:val="23"/>
          <w:lang w:val="en-GB"/>
        </w:rPr>
        <w:t>Tectonics, 16</w:t>
      </w:r>
      <w:r w:rsidRPr="0002382D">
        <w:rPr>
          <w:rFonts w:ascii="Times New Roman" w:hAnsi="Times New Roman" w:cs="Times New Roman"/>
          <w:color w:val="231F20"/>
          <w:szCs w:val="23"/>
          <w:lang w:val="en-GB"/>
        </w:rPr>
        <w:t xml:space="preserve">, 504-522.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Louni-Hacini A., Bellon H., Maury R.C., and 5 others, (1995), Datation 40K-40Ar de la transition du volcanisme calco-alcalin au volcanisme alcalin en Oranie au Miocene superieur, </w:t>
      </w:r>
      <w:r w:rsidRPr="0002382D">
        <w:rPr>
          <w:rFonts w:ascii="Times New Roman" w:hAnsi="Times New Roman" w:cs="Times New Roman"/>
          <w:i/>
          <w:iCs/>
          <w:szCs w:val="22"/>
          <w:lang w:val="en-GB"/>
        </w:rPr>
        <w:t>Comptes Rendus Academie des Sciences</w:t>
      </w:r>
      <w:r w:rsidRPr="0002382D">
        <w:rPr>
          <w:rFonts w:ascii="Times New Roman" w:hAnsi="Times New Roman" w:cs="Times New Roman"/>
          <w:i/>
          <w:szCs w:val="22"/>
          <w:lang w:val="en-GB"/>
        </w:rPr>
        <w:t xml:space="preserve">, </w:t>
      </w:r>
      <w:r w:rsidRPr="0002382D">
        <w:rPr>
          <w:rFonts w:ascii="Times New Roman" w:hAnsi="Times New Roman" w:cs="Times New Roman"/>
          <w:i/>
          <w:iCs/>
          <w:szCs w:val="22"/>
          <w:lang w:val="en-GB"/>
        </w:rPr>
        <w:t>Paris,</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321</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 975-982. </w:t>
      </w:r>
    </w:p>
    <w:p w:rsidR="007B6DBD" w:rsidRPr="0002382D" w:rsidRDefault="007B6DBD" w:rsidP="007B6DBD">
      <w:pPr>
        <w:pStyle w:val="Testonormale"/>
        <w:spacing w:line="240" w:lineRule="auto"/>
        <w:ind w:hanging="284"/>
        <w:jc w:val="both"/>
        <w:rPr>
          <w:rFonts w:ascii="Times New Roman" w:hAnsi="Times New Roman" w:cs="Times New Roman"/>
          <w:color w:val="231F20"/>
          <w:szCs w:val="22"/>
          <w:lang w:val="en-GB"/>
        </w:rPr>
      </w:pPr>
      <w:r w:rsidRPr="0002382D">
        <w:rPr>
          <w:rFonts w:ascii="Times New Roman" w:hAnsi="Times New Roman" w:cs="Times New Roman"/>
          <w:szCs w:val="22"/>
        </w:rPr>
        <w:t xml:space="preserve">Lustrino </w:t>
      </w:r>
      <w:r w:rsidRPr="0002382D">
        <w:rPr>
          <w:rFonts w:ascii="Times New Roman" w:hAnsi="Times New Roman" w:cs="Times New Roman"/>
          <w:color w:val="231F20"/>
          <w:szCs w:val="22"/>
        </w:rPr>
        <w:t>M.</w:t>
      </w:r>
      <w:r w:rsidRPr="0002382D">
        <w:rPr>
          <w:rFonts w:ascii="Times New Roman" w:hAnsi="Times New Roman" w:cs="Times New Roman"/>
          <w:szCs w:val="22"/>
        </w:rPr>
        <w:t xml:space="preserve">, Morra V., L. Melluso, 2004. </w:t>
      </w:r>
      <w:r w:rsidRPr="0002382D">
        <w:rPr>
          <w:rFonts w:ascii="Times New Roman" w:hAnsi="Times New Roman" w:cs="Times New Roman"/>
          <w:szCs w:val="22"/>
          <w:lang w:val="en-GB"/>
        </w:rPr>
        <w:t xml:space="preserve">The Cenozoic igneous activity of Sardinia. </w:t>
      </w:r>
      <w:r w:rsidRPr="0002382D">
        <w:rPr>
          <w:rFonts w:ascii="Times New Roman" w:hAnsi="Times New Roman" w:cs="Times New Roman"/>
          <w:i/>
          <w:iCs/>
          <w:color w:val="231F20"/>
          <w:szCs w:val="22"/>
          <w:lang w:val="en-GB"/>
        </w:rPr>
        <w:t>Periodico di Mineralogia</w:t>
      </w:r>
      <w:r w:rsidRPr="0002382D">
        <w:rPr>
          <w:rFonts w:ascii="Times New Roman" w:hAnsi="Times New Roman" w:cs="Times New Roman"/>
          <w:i/>
          <w:color w:val="231F20"/>
          <w:szCs w:val="22"/>
          <w:lang w:val="en-GB"/>
        </w:rPr>
        <w:t xml:space="preserve">, </w:t>
      </w:r>
      <w:r w:rsidRPr="0002382D">
        <w:rPr>
          <w:rFonts w:ascii="Times New Roman" w:hAnsi="Times New Roman" w:cs="Times New Roman"/>
          <w:bCs/>
          <w:i/>
          <w:color w:val="231F20"/>
          <w:szCs w:val="22"/>
          <w:lang w:val="en-GB"/>
        </w:rPr>
        <w:t>73</w:t>
      </w:r>
      <w:r w:rsidRPr="0002382D">
        <w:rPr>
          <w:rFonts w:ascii="Times New Roman" w:hAnsi="Times New Roman" w:cs="Times New Roman"/>
          <w:color w:val="231F20"/>
          <w:szCs w:val="22"/>
          <w:lang w:val="en-GB"/>
        </w:rPr>
        <w:t>,</w:t>
      </w:r>
      <w:r w:rsidRPr="0002382D">
        <w:rPr>
          <w:rFonts w:ascii="Times New Roman" w:hAnsi="Times New Roman" w:cs="Times New Roman"/>
          <w:szCs w:val="22"/>
          <w:lang w:val="en-GB"/>
        </w:rPr>
        <w:t xml:space="preserve"> </w:t>
      </w:r>
      <w:r w:rsidRPr="0002382D">
        <w:rPr>
          <w:rFonts w:ascii="Times New Roman" w:hAnsi="Times New Roman" w:cs="Times New Roman"/>
          <w:color w:val="231F20"/>
          <w:szCs w:val="22"/>
          <w:lang w:val="en-GB"/>
        </w:rPr>
        <w:t xml:space="preserve">105-134.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Lustrino M. and M. Wilson (2007), The circum-Mediterranean anorogenic Cenozoic igneous province, </w:t>
      </w:r>
      <w:r w:rsidRPr="0002382D">
        <w:rPr>
          <w:rFonts w:ascii="Times New Roman" w:hAnsi="Times New Roman" w:cs="Times New Roman"/>
          <w:i/>
          <w:szCs w:val="22"/>
          <w:lang w:val="en-GB"/>
        </w:rPr>
        <w:t>Earth Science Reviews, 81</w:t>
      </w:r>
      <w:r w:rsidRPr="0002382D">
        <w:rPr>
          <w:rFonts w:ascii="Times New Roman" w:hAnsi="Times New Roman" w:cs="Times New Roman"/>
          <w:szCs w:val="22"/>
          <w:lang w:val="en-GB"/>
        </w:rPr>
        <w:t xml:space="preserve">, 1-65.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AB6CCF">
        <w:rPr>
          <w:rFonts w:ascii="Times New Roman" w:hAnsi="Times New Roman" w:cs="Times New Roman"/>
          <w:szCs w:val="22"/>
          <w:lang w:val="en-GB"/>
        </w:rPr>
        <w:t xml:space="preserve">Maate A., Martin Perez J.A., Martin Algarra A., Serrano F., Aguado R., Martin Martin M. and Kh. </w:t>
      </w:r>
      <w:r w:rsidRPr="0002382D">
        <w:rPr>
          <w:rFonts w:ascii="Times New Roman" w:hAnsi="Times New Roman" w:cs="Times New Roman"/>
          <w:szCs w:val="22"/>
          <w:lang w:val="en-GB"/>
        </w:rPr>
        <w:t xml:space="preserve">El Hajaji (1995), Le Burdigalien inférieur de Boujarrah (Rif septentrional, Maroc) et la signification paléotectonique des séries miocènes transgressives sur les zones internes bético-rifaines, </w:t>
      </w:r>
      <w:r w:rsidRPr="0002382D">
        <w:rPr>
          <w:rFonts w:ascii="Times New Roman" w:hAnsi="Times New Roman" w:cs="Times New Roman"/>
          <w:i/>
          <w:iCs/>
          <w:szCs w:val="22"/>
          <w:lang w:val="en-GB"/>
        </w:rPr>
        <w:t>Comptes Rendus Academie des Sciences Paris,</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320/</w:t>
      </w:r>
      <w:r w:rsidRPr="0002382D">
        <w:rPr>
          <w:rFonts w:ascii="Times New Roman" w:hAnsi="Times New Roman" w:cs="Times New Roman"/>
          <w:i/>
          <w:szCs w:val="22"/>
          <w:lang w:val="en-GB"/>
        </w:rPr>
        <w:t>Série Iia</w:t>
      </w:r>
      <w:r w:rsidRPr="0002382D">
        <w:rPr>
          <w:rFonts w:ascii="Times New Roman" w:hAnsi="Times New Roman" w:cs="Times New Roman"/>
          <w:szCs w:val="22"/>
          <w:lang w:val="en-GB"/>
        </w:rPr>
        <w:t xml:space="preserve">, 15-22.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Malinverno </w:t>
      </w:r>
      <w:r w:rsidRPr="0002382D">
        <w:rPr>
          <w:rFonts w:ascii="Times New Roman" w:hAnsi="Times New Roman" w:cs="Times New Roman"/>
          <w:color w:val="231F20"/>
          <w:szCs w:val="23"/>
          <w:lang w:val="en-GB"/>
        </w:rPr>
        <w:t>A.</w:t>
      </w:r>
      <w:r w:rsidRPr="0002382D">
        <w:rPr>
          <w:rFonts w:ascii="Times New Roman" w:hAnsi="Times New Roman" w:cs="Times New Roman"/>
          <w:szCs w:val="23"/>
          <w:lang w:val="en-GB"/>
        </w:rPr>
        <w:t xml:space="preserve"> and W.B.F. Ryan (1986), Extension in the Tyrrhenian Sea and shortening in the Apennines as a result of arc migration driven by sinking of the lithosphere, </w:t>
      </w:r>
      <w:r w:rsidRPr="0002382D">
        <w:rPr>
          <w:rFonts w:ascii="Times New Roman" w:hAnsi="Times New Roman" w:cs="Times New Roman"/>
          <w:i/>
          <w:iCs/>
          <w:szCs w:val="23"/>
          <w:lang w:val="en-GB"/>
        </w:rPr>
        <w:t>Tectonics,</w:t>
      </w:r>
      <w:r w:rsidRPr="0002382D">
        <w:rPr>
          <w:rFonts w:ascii="Times New Roman" w:hAnsi="Times New Roman" w:cs="Times New Roman"/>
          <w:i/>
          <w:szCs w:val="23"/>
          <w:lang w:val="en-GB"/>
        </w:rPr>
        <w:t xml:space="preserve"> </w:t>
      </w:r>
      <w:r w:rsidRPr="0002382D">
        <w:rPr>
          <w:rFonts w:ascii="Times New Roman" w:hAnsi="Times New Roman" w:cs="Times New Roman"/>
          <w:bCs/>
          <w:i/>
          <w:szCs w:val="23"/>
          <w:lang w:val="en-GB"/>
        </w:rPr>
        <w:t>5</w:t>
      </w:r>
      <w:r w:rsidRPr="0002382D">
        <w:rPr>
          <w:rFonts w:ascii="Times New Roman" w:hAnsi="Times New Roman" w:cs="Times New Roman"/>
          <w:szCs w:val="23"/>
          <w:lang w:val="en-GB"/>
        </w:rPr>
        <w:t xml:space="preserve">, 227-245. </w:t>
      </w:r>
    </w:p>
    <w:p w:rsidR="007B6DBD" w:rsidRPr="0002382D" w:rsidRDefault="007B6DBD" w:rsidP="007B6DBD">
      <w:pPr>
        <w:spacing w:line="240" w:lineRule="auto"/>
        <w:ind w:hanging="284"/>
        <w:rPr>
          <w:sz w:val="20"/>
          <w:szCs w:val="23"/>
        </w:rPr>
      </w:pPr>
      <w:r w:rsidRPr="0002382D">
        <w:rPr>
          <w:sz w:val="20"/>
          <w:szCs w:val="23"/>
          <w:lang w:val="it-IT"/>
        </w:rPr>
        <w:t xml:space="preserve">Mantovani E., Albarello D., Babbucci D., Tamburelli C., Viti M., (2002). </w:t>
      </w:r>
      <w:r w:rsidRPr="0002382D">
        <w:rPr>
          <w:sz w:val="20"/>
          <w:szCs w:val="23"/>
        </w:rPr>
        <w:t xml:space="preserve">Trench-arc-Backarc systems in the Mediterranean area: examples of extrusion tectonics. </w:t>
      </w:r>
      <w:r w:rsidRPr="0002382D">
        <w:rPr>
          <w:i/>
          <w:sz w:val="20"/>
          <w:szCs w:val="23"/>
        </w:rPr>
        <w:t>Journal of Virtual Explorer, Vol.8</w:t>
      </w:r>
      <w:r w:rsidRPr="0002382D">
        <w:rPr>
          <w:sz w:val="20"/>
          <w:szCs w:val="23"/>
        </w:rPr>
        <w:t>, 125-141.</w:t>
      </w:r>
    </w:p>
    <w:p w:rsidR="007B6DBD" w:rsidRPr="0002382D" w:rsidRDefault="007B6DBD" w:rsidP="007B6DBD">
      <w:pPr>
        <w:spacing w:line="240" w:lineRule="auto"/>
        <w:ind w:hanging="284"/>
        <w:rPr>
          <w:sz w:val="20"/>
          <w:szCs w:val="22"/>
        </w:rPr>
      </w:pPr>
      <w:r w:rsidRPr="0002382D">
        <w:rPr>
          <w:sz w:val="20"/>
          <w:szCs w:val="22"/>
        </w:rPr>
        <w:t xml:space="preserve">Marani M.P. and Trua T. (2002), Thermal constriction and slab tearing at the origin of a superinflated spreading ridge: Marsili volcano (Tyrrhenian Sea), </w:t>
      </w:r>
      <w:r w:rsidRPr="0002382D">
        <w:rPr>
          <w:i/>
          <w:sz w:val="20"/>
          <w:szCs w:val="22"/>
        </w:rPr>
        <w:t>J. Geophys. Res., 107/ B9</w:t>
      </w:r>
      <w:r w:rsidRPr="0002382D">
        <w:rPr>
          <w:sz w:val="20"/>
          <w:szCs w:val="22"/>
        </w:rPr>
        <w:t xml:space="preserve">, 2188, doi:10.1029/2001JB000285.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Marti’ J., Mitjavila J., Roca E., Aparicio A., (1992), Cenozoic magmatism of the Valencia trough (western Mediterranean): relationship between structural evolution and volcanism, </w:t>
      </w:r>
      <w:r w:rsidRPr="0002382D">
        <w:rPr>
          <w:rFonts w:ascii="Times New Roman" w:hAnsi="Times New Roman" w:cs="Times New Roman"/>
          <w:i/>
          <w:iCs/>
          <w:szCs w:val="22"/>
          <w:lang w:val="en-GB"/>
        </w:rPr>
        <w:t>Tectonophysics</w:t>
      </w:r>
      <w:r w:rsidRPr="0002382D">
        <w:rPr>
          <w:rFonts w:ascii="Times New Roman" w:hAnsi="Times New Roman" w:cs="Times New Roman"/>
          <w:szCs w:val="22"/>
          <w:lang w:val="en-GB"/>
        </w:rPr>
        <w:t xml:space="preserve">, </w:t>
      </w:r>
      <w:r w:rsidRPr="0002382D">
        <w:rPr>
          <w:rFonts w:ascii="Times New Roman" w:hAnsi="Times New Roman" w:cs="Times New Roman"/>
          <w:bCs/>
          <w:i/>
          <w:szCs w:val="22"/>
          <w:lang w:val="en-GB"/>
        </w:rPr>
        <w:t>203,</w:t>
      </w:r>
      <w:r w:rsidRPr="0002382D">
        <w:rPr>
          <w:rFonts w:ascii="Times New Roman" w:hAnsi="Times New Roman" w:cs="Times New Roman"/>
          <w:szCs w:val="22"/>
          <w:lang w:val="en-GB"/>
        </w:rPr>
        <w:t xml:space="preserve"> 145-165.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Martin, A. K. (2006), Oppositely directed pairs of propagating rifts in back-arc basins: Double saloon door seafloor spreading during subduction rollback, </w:t>
      </w:r>
      <w:r w:rsidRPr="0002382D">
        <w:rPr>
          <w:rFonts w:ascii="Times New Roman" w:hAnsi="Times New Roman" w:cs="Times New Roman"/>
          <w:i/>
          <w:szCs w:val="23"/>
          <w:lang w:val="en-GB"/>
        </w:rPr>
        <w:t>Tectonics, 25</w:t>
      </w:r>
      <w:r w:rsidRPr="0002382D">
        <w:rPr>
          <w:rFonts w:ascii="Times New Roman" w:hAnsi="Times New Roman" w:cs="Times New Roman"/>
          <w:szCs w:val="23"/>
          <w:lang w:val="en-GB"/>
        </w:rPr>
        <w:t xml:space="preserve">, TC3008, doi:10.1029/2005TC001885. </w:t>
      </w:r>
    </w:p>
    <w:p w:rsidR="007B6DBD" w:rsidRPr="0002382D" w:rsidRDefault="007B6DBD" w:rsidP="007B6DBD">
      <w:pPr>
        <w:pStyle w:val="Testonormale"/>
        <w:spacing w:line="240" w:lineRule="auto"/>
        <w:ind w:hanging="284"/>
        <w:jc w:val="both"/>
        <w:rPr>
          <w:rFonts w:ascii="Times New Roman" w:hAnsi="Times New Roman" w:cs="Times New Roman"/>
          <w:b/>
          <w:bCs/>
          <w:szCs w:val="22"/>
          <w:lang w:val="en-GB"/>
        </w:rPr>
      </w:pPr>
      <w:r w:rsidRPr="0002382D">
        <w:rPr>
          <w:rFonts w:ascii="Times New Roman" w:hAnsi="Times New Roman" w:cs="Times New Roman"/>
          <w:szCs w:val="22"/>
          <w:lang w:val="en-GB"/>
        </w:rPr>
        <w:t xml:space="preserve">Mattioli M., Guerrera F., Tramontana M., Raffaelli G. D’Atri M., (2000) High-Mg Tertiary basalts in Southern Sardinia (Italy), </w:t>
      </w:r>
      <w:r w:rsidRPr="0002382D">
        <w:rPr>
          <w:rFonts w:ascii="Times New Roman" w:hAnsi="Times New Roman" w:cs="Times New Roman"/>
          <w:i/>
          <w:iCs/>
          <w:szCs w:val="22"/>
          <w:lang w:val="en-GB"/>
        </w:rPr>
        <w:t>Earth Planetary Science Letters,</w:t>
      </w:r>
      <w:r w:rsidRPr="0002382D">
        <w:rPr>
          <w:rFonts w:ascii="Times New Roman" w:hAnsi="Times New Roman" w:cs="Times New Roman"/>
          <w:bCs/>
          <w:i/>
          <w:szCs w:val="22"/>
          <w:lang w:val="en-GB"/>
        </w:rPr>
        <w:t xml:space="preserve"> 179</w:t>
      </w:r>
      <w:r w:rsidRPr="0002382D">
        <w:rPr>
          <w:rFonts w:ascii="Times New Roman" w:hAnsi="Times New Roman" w:cs="Times New Roman"/>
          <w:bCs/>
          <w:szCs w:val="22"/>
          <w:lang w:val="en-GB"/>
        </w:rPr>
        <w:t xml:space="preserve">, </w:t>
      </w:r>
      <w:r w:rsidRPr="0002382D">
        <w:rPr>
          <w:rFonts w:ascii="Times New Roman" w:hAnsi="Times New Roman" w:cs="Times New Roman"/>
          <w:szCs w:val="22"/>
          <w:lang w:val="en-GB"/>
        </w:rPr>
        <w:t xml:space="preserve">1-7. </w:t>
      </w:r>
    </w:p>
    <w:p w:rsidR="007B6DBD" w:rsidRPr="0002382D" w:rsidRDefault="007B6DBD" w:rsidP="007B6DBD">
      <w:pPr>
        <w:pStyle w:val="Testonormale"/>
        <w:spacing w:line="240" w:lineRule="auto"/>
        <w:ind w:hanging="284"/>
        <w:jc w:val="both"/>
        <w:rPr>
          <w:rFonts w:ascii="Times New Roman" w:hAnsi="Times New Roman" w:cs="Times New Roman"/>
          <w:color w:val="231F20"/>
          <w:szCs w:val="22"/>
          <w:lang w:val="en-GB"/>
        </w:rPr>
      </w:pPr>
      <w:r w:rsidRPr="0002382D">
        <w:rPr>
          <w:rFonts w:ascii="Times New Roman" w:hAnsi="Times New Roman" w:cs="Times New Roman"/>
          <w:szCs w:val="22"/>
          <w:lang w:val="en-GB"/>
        </w:rPr>
        <w:t xml:space="preserve">Mattioli M., Di Battistini G. and G. Zanzucchi </w:t>
      </w:r>
      <w:r w:rsidRPr="0002382D">
        <w:rPr>
          <w:rFonts w:ascii="Times New Roman" w:hAnsi="Times New Roman" w:cs="Times New Roman"/>
          <w:color w:val="231F20"/>
          <w:szCs w:val="22"/>
          <w:lang w:val="en-GB"/>
        </w:rPr>
        <w:t>(</w:t>
      </w:r>
      <w:r w:rsidRPr="0002382D">
        <w:rPr>
          <w:rFonts w:ascii="Times New Roman" w:hAnsi="Times New Roman" w:cs="Times New Roman"/>
          <w:szCs w:val="22"/>
          <w:lang w:val="en-GB"/>
        </w:rPr>
        <w:t xml:space="preserve">2002), Petrology, geochemistry and age of the volcanic clasts from the Canetolo Unit (Northern Apennines, Italy), </w:t>
      </w:r>
      <w:r w:rsidRPr="0002382D">
        <w:rPr>
          <w:rFonts w:ascii="Times New Roman" w:hAnsi="Times New Roman" w:cs="Times New Roman"/>
          <w:i/>
          <w:iCs/>
          <w:szCs w:val="22"/>
          <w:lang w:val="en-GB"/>
        </w:rPr>
        <w:t>Boll. Soc. Geol. It.</w:t>
      </w:r>
      <w:r w:rsidRPr="0002382D">
        <w:rPr>
          <w:rFonts w:ascii="Times New Roman" w:hAnsi="Times New Roman" w:cs="Times New Roman"/>
          <w:i/>
          <w:snapToGrid w:val="0"/>
          <w:szCs w:val="22"/>
          <w:lang w:val="en-GB"/>
        </w:rPr>
        <w:t xml:space="preserve"> </w:t>
      </w:r>
      <w:r w:rsidRPr="0002382D">
        <w:rPr>
          <w:rFonts w:ascii="Times New Roman" w:hAnsi="Times New Roman" w:cs="Times New Roman"/>
          <w:i/>
          <w:color w:val="231F20"/>
          <w:szCs w:val="22"/>
          <w:lang w:val="en-GB"/>
        </w:rPr>
        <w:t>Special Volume 1 (Geological and geodynamic evolution of the Apennines)</w:t>
      </w:r>
      <w:r w:rsidRPr="0002382D">
        <w:rPr>
          <w:rFonts w:ascii="Times New Roman" w:hAnsi="Times New Roman" w:cs="Times New Roman"/>
          <w:color w:val="231F20"/>
          <w:szCs w:val="22"/>
          <w:lang w:val="en-GB"/>
        </w:rPr>
        <w:t xml:space="preserve">, 399-416.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Mascle G.H., Tricard P., Torelli L., Bouillin J-P., Rolfo F., Lapierre H., Monie’ P., Depardon S., Mascle J., Peis D. (2001), Evolution of the Sardinia Channel (Western Mediterranean): new constraints from a diving survey on Cornacya seamount off SE Sardinia, </w:t>
      </w:r>
      <w:r w:rsidRPr="0002382D">
        <w:rPr>
          <w:rFonts w:ascii="Times New Roman" w:hAnsi="Times New Roman" w:cs="Times New Roman"/>
          <w:i/>
          <w:iCs/>
          <w:szCs w:val="22"/>
          <w:lang w:val="en-GB"/>
        </w:rPr>
        <w:t>Marine Geology,</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179</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 179-202.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color w:val="000000"/>
          <w:szCs w:val="22"/>
          <w:lang w:val="en-GB"/>
        </w:rPr>
        <w:t xml:space="preserve">Maury </w:t>
      </w:r>
      <w:r w:rsidRPr="0002382D">
        <w:rPr>
          <w:rFonts w:ascii="Times New Roman" w:hAnsi="Times New Roman" w:cs="Times New Roman"/>
          <w:color w:val="231F20"/>
          <w:szCs w:val="22"/>
          <w:lang w:val="en-GB"/>
        </w:rPr>
        <w:t>C. R.</w:t>
      </w:r>
      <w:r w:rsidRPr="0002382D">
        <w:rPr>
          <w:rFonts w:ascii="Times New Roman" w:hAnsi="Times New Roman" w:cs="Times New Roman"/>
          <w:color w:val="000000"/>
          <w:szCs w:val="22"/>
          <w:lang w:val="en-GB"/>
        </w:rPr>
        <w:t xml:space="preserve">, Fourcade, S., Coulon, C., El Azzouzi, M.; Bellon, H., Coutelle, A., Ouabadi, A., Semroud, B., Megartsi, M., Cotten, J., Belanteur, O., Louni-Hacini, A., Piqué, A., Capdevila, R. Hernandez and J. P. Réhault (2000), Post-collisional Neogene magmatism of the Mediterranean Maghreb margin: a consequence of slab breakoff, </w:t>
      </w:r>
      <w:r w:rsidRPr="0002382D">
        <w:rPr>
          <w:rFonts w:ascii="Times New Roman" w:hAnsi="Times New Roman" w:cs="Times New Roman"/>
          <w:i/>
          <w:szCs w:val="22"/>
          <w:lang w:val="en-GB"/>
        </w:rPr>
        <w:t>C.R. Acad. Sci. Paris</w:t>
      </w:r>
      <w:r w:rsidRPr="0002382D">
        <w:rPr>
          <w:rFonts w:ascii="Times New Roman" w:hAnsi="Times New Roman" w:cs="Times New Roman"/>
          <w:szCs w:val="22"/>
          <w:lang w:val="en-GB"/>
        </w:rPr>
        <w:t xml:space="preserve">, </w:t>
      </w:r>
      <w:r w:rsidRPr="0002382D">
        <w:rPr>
          <w:rFonts w:ascii="Times New Roman" w:hAnsi="Times New Roman" w:cs="Times New Roman"/>
          <w:i/>
          <w:szCs w:val="22"/>
          <w:lang w:val="en-GB"/>
        </w:rPr>
        <w:t>331,</w:t>
      </w:r>
      <w:r w:rsidRPr="0002382D">
        <w:rPr>
          <w:rFonts w:ascii="Times New Roman" w:hAnsi="Times New Roman" w:cs="Times New Roman"/>
          <w:color w:val="000000"/>
          <w:szCs w:val="22"/>
          <w:lang w:val="en-GB"/>
        </w:rPr>
        <w:t xml:space="preserve"> </w:t>
      </w:r>
      <w:r w:rsidRPr="0002382D">
        <w:rPr>
          <w:rFonts w:ascii="Times New Roman" w:hAnsi="Times New Roman" w:cs="Times New Roman"/>
          <w:szCs w:val="22"/>
          <w:lang w:val="en-GB"/>
        </w:rPr>
        <w:t xml:space="preserve">159-173.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Mezzetti R., and R. Olivieri (1964), Intercalazioni cineritiche di eta’ oligocenica e miocenica nell’Appennino centro-settentrionale, (Volcanic ash layers of Oligo-Miocene age of central-northern Apennines; with english abstract) </w:t>
      </w:r>
      <w:r w:rsidRPr="0002382D">
        <w:rPr>
          <w:rFonts w:ascii="Times New Roman" w:hAnsi="Times New Roman" w:cs="Times New Roman"/>
          <w:i/>
          <w:szCs w:val="22"/>
          <w:lang w:val="en-GB"/>
        </w:rPr>
        <w:t>Miner. Petrogr. Acta, 10</w:t>
      </w:r>
      <w:r w:rsidRPr="0002382D">
        <w:rPr>
          <w:rFonts w:ascii="Times New Roman" w:hAnsi="Times New Roman" w:cs="Times New Roman"/>
          <w:szCs w:val="22"/>
          <w:lang w:val="en-GB"/>
        </w:rPr>
        <w:t xml:space="preserve">, 129-147.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Monie’, P., Maluski, H., Saadallah, A. and R., Caby (1995), New 39Ar-40Ar ages of Hercynian and Alpine thermometamorphic events in Grande Kabylie (Algeria), </w:t>
      </w:r>
      <w:r w:rsidRPr="0002382D">
        <w:rPr>
          <w:rFonts w:ascii="Times New Roman" w:hAnsi="Times New Roman" w:cs="Times New Roman"/>
          <w:i/>
          <w:szCs w:val="22"/>
          <w:lang w:val="en-GB"/>
        </w:rPr>
        <w:t>Tectonophysics, 152</w:t>
      </w:r>
      <w:r w:rsidRPr="0002382D">
        <w:rPr>
          <w:rFonts w:ascii="Times New Roman" w:hAnsi="Times New Roman" w:cs="Times New Roman"/>
          <w:szCs w:val="22"/>
          <w:lang w:val="en-GB"/>
        </w:rPr>
        <w:t xml:space="preserve">, 53–69.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Montigny, R., J.B. Edel and R. Thuizat (1981), Oligo-Miocene rotation of Sardinia: K-Ar ages and paleomagnetic data of Tertiary volcanics, </w:t>
      </w:r>
      <w:r w:rsidRPr="0002382D">
        <w:rPr>
          <w:rFonts w:ascii="Times New Roman" w:hAnsi="Times New Roman" w:cs="Times New Roman"/>
          <w:i/>
          <w:szCs w:val="22"/>
          <w:lang w:val="en-GB"/>
        </w:rPr>
        <w:t>Earth Planet. Sci. Letters</w:t>
      </w:r>
      <w:r w:rsidRPr="0002382D">
        <w:rPr>
          <w:rFonts w:ascii="Times New Roman" w:hAnsi="Times New Roman" w:cs="Times New Roman"/>
          <w:szCs w:val="22"/>
          <w:lang w:val="en-GB"/>
        </w:rPr>
        <w:t xml:space="preserve"> 54, 261–271.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Morra V., Secchi, F. and A. Assorgia (1994), Petrogenetic significance of peralkaline rocks from Cenozoic calc-alkaline volcanism from SW Sardinia, Italy</w:t>
      </w:r>
      <w:r w:rsidRPr="0002382D">
        <w:rPr>
          <w:rFonts w:ascii="Times New Roman" w:hAnsi="Times New Roman" w:cs="Times New Roman"/>
          <w:i/>
          <w:szCs w:val="22"/>
          <w:lang w:val="en-GB"/>
        </w:rPr>
        <w:t>, Chem. Geol., 118/1-4</w:t>
      </w:r>
      <w:r w:rsidRPr="0002382D">
        <w:rPr>
          <w:rFonts w:ascii="Times New Roman" w:hAnsi="Times New Roman" w:cs="Times New Roman"/>
          <w:szCs w:val="22"/>
          <w:lang w:val="en-GB"/>
        </w:rPr>
        <w:t xml:space="preserve">, 109-142. </w:t>
      </w:r>
    </w:p>
    <w:p w:rsidR="007B6DBD" w:rsidRPr="0002382D" w:rsidRDefault="007B6DBD" w:rsidP="007B6DBD">
      <w:pPr>
        <w:pStyle w:val="Testonormale"/>
        <w:spacing w:line="240" w:lineRule="auto"/>
        <w:ind w:hanging="284"/>
        <w:jc w:val="both"/>
        <w:rPr>
          <w:rFonts w:ascii="Times New Roman" w:hAnsi="Times New Roman" w:cs="Times New Roman"/>
          <w:color w:val="231F20"/>
          <w:szCs w:val="22"/>
          <w:lang w:val="en-GB"/>
        </w:rPr>
      </w:pPr>
      <w:r w:rsidRPr="0002382D">
        <w:rPr>
          <w:rFonts w:ascii="Times New Roman" w:hAnsi="Times New Roman" w:cs="Times New Roman"/>
          <w:color w:val="231F20"/>
          <w:szCs w:val="22"/>
          <w:lang w:val="en-GB"/>
        </w:rPr>
        <w:t xml:space="preserve">Morra, V., Secchi, F.A.G., Melluso, L. and L. Franciosi (1997), High-Mg subduction-related Tertiary basalts in Sardinia, Italy, </w:t>
      </w:r>
      <w:r w:rsidRPr="0002382D">
        <w:rPr>
          <w:rFonts w:ascii="Times New Roman" w:hAnsi="Times New Roman" w:cs="Times New Roman"/>
          <w:i/>
          <w:color w:val="231F20"/>
          <w:szCs w:val="22"/>
          <w:lang w:val="en-GB"/>
        </w:rPr>
        <w:t>Lithos, 40</w:t>
      </w:r>
      <w:r w:rsidRPr="0002382D">
        <w:rPr>
          <w:rFonts w:ascii="Times New Roman" w:hAnsi="Times New Roman" w:cs="Times New Roman"/>
          <w:color w:val="231F20"/>
          <w:szCs w:val="22"/>
          <w:lang w:val="en-GB"/>
        </w:rPr>
        <w:t xml:space="preserve">, 69-91. </w:t>
      </w:r>
    </w:p>
    <w:p w:rsidR="007B6DBD" w:rsidRPr="0002382D" w:rsidRDefault="007B6DBD" w:rsidP="007B6DBD">
      <w:pPr>
        <w:pStyle w:val="Testonormale"/>
        <w:spacing w:line="240" w:lineRule="auto"/>
        <w:ind w:hanging="284"/>
        <w:jc w:val="both"/>
        <w:rPr>
          <w:rFonts w:ascii="Times New Roman" w:hAnsi="Times New Roman" w:cs="Times New Roman"/>
          <w:color w:val="000000"/>
          <w:szCs w:val="22"/>
          <w:lang w:val="en-GB"/>
        </w:rPr>
      </w:pPr>
      <w:r w:rsidRPr="0002382D">
        <w:rPr>
          <w:rFonts w:ascii="Times New Roman" w:hAnsi="Times New Roman" w:cs="Times New Roman"/>
          <w:szCs w:val="22"/>
          <w:lang w:val="en-GB"/>
        </w:rPr>
        <w:t>Nicolosi</w:t>
      </w:r>
      <w:r w:rsidRPr="0002382D">
        <w:rPr>
          <w:rFonts w:ascii="Times New Roman" w:hAnsi="Times New Roman" w:cs="Times New Roman"/>
          <w:color w:val="000000"/>
          <w:szCs w:val="22"/>
          <w:lang w:val="en-GB"/>
        </w:rPr>
        <w:t xml:space="preserve"> I., Speranza F., and M. Chiappini (2006), Ultrafast oceanic spreading of the Marsili Basin, southern Tyrrhenian Sea: Evidence from magnetic anomaly analysis, </w:t>
      </w:r>
      <w:r w:rsidRPr="0002382D">
        <w:rPr>
          <w:rFonts w:ascii="Times New Roman" w:hAnsi="Times New Roman" w:cs="Times New Roman"/>
          <w:i/>
          <w:color w:val="000000"/>
          <w:szCs w:val="22"/>
          <w:lang w:val="en-GB"/>
        </w:rPr>
        <w:t>Geology, 34/9,</w:t>
      </w:r>
      <w:r w:rsidRPr="0002382D">
        <w:rPr>
          <w:rFonts w:ascii="Times New Roman" w:hAnsi="Times New Roman" w:cs="Times New Roman"/>
          <w:color w:val="000000"/>
          <w:szCs w:val="22"/>
          <w:lang w:val="en-GB"/>
        </w:rPr>
        <w:t xml:space="preserve"> 717-720. </w:t>
      </w:r>
    </w:p>
    <w:p w:rsidR="007B6DBD" w:rsidRPr="0002382D" w:rsidRDefault="007B6DBD" w:rsidP="007B6DBD">
      <w:pPr>
        <w:pStyle w:val="Testonormale"/>
        <w:tabs>
          <w:tab w:val="left" w:pos="8820"/>
        </w:tabs>
        <w:spacing w:line="240" w:lineRule="auto"/>
        <w:ind w:hanging="284"/>
        <w:jc w:val="both"/>
        <w:rPr>
          <w:rFonts w:ascii="Times New Roman" w:hAnsi="Times New Roman" w:cs="Times New Roman"/>
          <w:color w:val="231F20"/>
          <w:szCs w:val="22"/>
        </w:rPr>
      </w:pPr>
      <w:r w:rsidRPr="0002382D">
        <w:rPr>
          <w:rFonts w:ascii="Times New Roman" w:hAnsi="Times New Roman" w:cs="Times New Roman"/>
          <w:color w:val="231F20"/>
          <w:szCs w:val="22"/>
        </w:rPr>
        <w:lastRenderedPageBreak/>
        <w:t xml:space="preserve">Ottaviani-Spella M.-M., Girard M., Rochette P., Cheilletz A. Thinon M. (2001), Le volcanisme acide Burdigalien du sud de la Corse: petrologie, datation K-Ar, paleomagnetism, </w:t>
      </w:r>
      <w:r w:rsidRPr="0002382D">
        <w:rPr>
          <w:rFonts w:ascii="Times New Roman" w:hAnsi="Times New Roman" w:cs="Times New Roman"/>
          <w:i/>
          <w:iCs/>
          <w:szCs w:val="22"/>
        </w:rPr>
        <w:t>Comptes Rendus Academie des Sciences Paris,</w:t>
      </w:r>
      <w:r w:rsidRPr="0002382D">
        <w:rPr>
          <w:rFonts w:ascii="Times New Roman" w:hAnsi="Times New Roman" w:cs="Times New Roman"/>
          <w:i/>
          <w:szCs w:val="22"/>
        </w:rPr>
        <w:t xml:space="preserve"> </w:t>
      </w:r>
      <w:r w:rsidRPr="0002382D">
        <w:rPr>
          <w:rFonts w:ascii="Times New Roman" w:hAnsi="Times New Roman" w:cs="Times New Roman"/>
          <w:bCs/>
          <w:i/>
          <w:color w:val="231F20"/>
          <w:szCs w:val="22"/>
        </w:rPr>
        <w:t>333</w:t>
      </w:r>
      <w:r w:rsidRPr="0002382D">
        <w:rPr>
          <w:rFonts w:ascii="Times New Roman" w:hAnsi="Times New Roman" w:cs="Times New Roman"/>
          <w:bCs/>
          <w:color w:val="231F20"/>
          <w:szCs w:val="22"/>
        </w:rPr>
        <w:t>,</w:t>
      </w:r>
      <w:r w:rsidRPr="0002382D">
        <w:rPr>
          <w:rFonts w:ascii="Times New Roman" w:hAnsi="Times New Roman" w:cs="Times New Roman"/>
          <w:color w:val="231F20"/>
          <w:szCs w:val="22"/>
        </w:rPr>
        <w:t xml:space="preserve"> 113-120.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Patacca </w:t>
      </w:r>
      <w:r w:rsidRPr="0002382D">
        <w:rPr>
          <w:rFonts w:ascii="Times New Roman" w:hAnsi="Times New Roman" w:cs="Times New Roman"/>
          <w:color w:val="231F20"/>
          <w:szCs w:val="23"/>
          <w:lang w:val="en-GB"/>
        </w:rPr>
        <w:t>E.</w:t>
      </w:r>
      <w:r w:rsidRPr="0002382D">
        <w:rPr>
          <w:rFonts w:ascii="Times New Roman" w:hAnsi="Times New Roman" w:cs="Times New Roman"/>
          <w:szCs w:val="23"/>
          <w:lang w:val="en-GB"/>
        </w:rPr>
        <w:t xml:space="preserve">, Sartori R. and P. Scandone (1990), Tyrrhenian basin and Apenninic arcs. Kinematic relations since late Tortonian times, </w:t>
      </w:r>
      <w:r w:rsidRPr="0002382D">
        <w:rPr>
          <w:rFonts w:ascii="Times New Roman" w:hAnsi="Times New Roman" w:cs="Times New Roman"/>
          <w:i/>
          <w:szCs w:val="23"/>
          <w:lang w:val="en-GB"/>
        </w:rPr>
        <w:t>Mem. Soc. Geol. It., 45</w:t>
      </w:r>
      <w:r w:rsidRPr="0002382D">
        <w:rPr>
          <w:rFonts w:ascii="Times New Roman" w:hAnsi="Times New Roman" w:cs="Times New Roman"/>
          <w:szCs w:val="23"/>
          <w:lang w:val="en-GB"/>
        </w:rPr>
        <w:t xml:space="preserve">, 425-451. </w:t>
      </w:r>
    </w:p>
    <w:p w:rsidR="007B6DBD" w:rsidRPr="0002382D" w:rsidRDefault="007B6DBD" w:rsidP="007B6DBD">
      <w:pPr>
        <w:pStyle w:val="Testonormale"/>
        <w:spacing w:line="240" w:lineRule="auto"/>
        <w:ind w:hanging="284"/>
        <w:jc w:val="both"/>
        <w:rPr>
          <w:rFonts w:ascii="Times New Roman" w:hAnsi="Times New Roman" w:cs="Times New Roman"/>
          <w:color w:val="231F20"/>
          <w:szCs w:val="22"/>
          <w:lang w:val="en-GB"/>
        </w:rPr>
      </w:pPr>
      <w:r w:rsidRPr="0002382D">
        <w:rPr>
          <w:rFonts w:ascii="Times New Roman" w:hAnsi="Times New Roman" w:cs="Times New Roman"/>
          <w:color w:val="231F20"/>
          <w:szCs w:val="22"/>
          <w:lang w:val="en-GB"/>
        </w:rPr>
        <w:t xml:space="preserve">Peccerillo A. (1999), Multiple mantle metasomatism in centralsouthern Italy: geochemical effects, timing and geodynamic implications, </w:t>
      </w:r>
      <w:r w:rsidRPr="0002382D">
        <w:rPr>
          <w:rFonts w:ascii="Times New Roman" w:hAnsi="Times New Roman" w:cs="Times New Roman"/>
          <w:i/>
          <w:iCs/>
          <w:color w:val="231F20"/>
          <w:szCs w:val="22"/>
          <w:lang w:val="en-GB"/>
        </w:rPr>
        <w:t>Geology</w:t>
      </w:r>
      <w:r w:rsidRPr="0002382D">
        <w:rPr>
          <w:rFonts w:ascii="Times New Roman" w:hAnsi="Times New Roman" w:cs="Times New Roman"/>
          <w:i/>
          <w:color w:val="231F20"/>
          <w:szCs w:val="22"/>
          <w:lang w:val="en-GB"/>
        </w:rPr>
        <w:t xml:space="preserve">, </w:t>
      </w:r>
      <w:r w:rsidRPr="0002382D">
        <w:rPr>
          <w:rFonts w:ascii="Times New Roman" w:hAnsi="Times New Roman" w:cs="Times New Roman"/>
          <w:bCs/>
          <w:i/>
          <w:color w:val="231F20"/>
          <w:szCs w:val="22"/>
          <w:lang w:val="en-GB"/>
        </w:rPr>
        <w:t>27</w:t>
      </w:r>
      <w:r w:rsidRPr="0002382D">
        <w:rPr>
          <w:rFonts w:ascii="Times New Roman" w:hAnsi="Times New Roman" w:cs="Times New Roman"/>
          <w:b/>
          <w:bCs/>
          <w:i/>
          <w:color w:val="231F20"/>
          <w:szCs w:val="22"/>
          <w:lang w:val="en-GB"/>
        </w:rPr>
        <w:t>/</w:t>
      </w:r>
      <w:r w:rsidRPr="0002382D">
        <w:rPr>
          <w:rFonts w:ascii="Times New Roman" w:hAnsi="Times New Roman" w:cs="Times New Roman"/>
          <w:i/>
          <w:color w:val="231F20"/>
          <w:szCs w:val="22"/>
          <w:lang w:val="en-GB"/>
        </w:rPr>
        <w:t>4</w:t>
      </w:r>
      <w:r w:rsidRPr="0002382D">
        <w:rPr>
          <w:rFonts w:ascii="Times New Roman" w:hAnsi="Times New Roman" w:cs="Times New Roman"/>
          <w:color w:val="231F20"/>
          <w:szCs w:val="22"/>
          <w:lang w:val="en-GB"/>
        </w:rPr>
        <w:t xml:space="preserve">, 315-318.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rPr>
        <w:t xml:space="preserve">Perrone V. (1987), I depositi miocenici della dorsale di Monte Soprano (Appennino campano): segnalazione di vulcanismo andesitico e nuova interpretazione, </w:t>
      </w:r>
      <w:r w:rsidRPr="0002382D">
        <w:rPr>
          <w:rFonts w:ascii="Times New Roman" w:hAnsi="Times New Roman" w:cs="Times New Roman"/>
          <w:i/>
          <w:iCs/>
          <w:szCs w:val="22"/>
        </w:rPr>
        <w:t xml:space="preserve">Boll. Soc. </w:t>
      </w:r>
      <w:r w:rsidRPr="0002382D">
        <w:rPr>
          <w:rFonts w:ascii="Times New Roman" w:hAnsi="Times New Roman" w:cs="Times New Roman"/>
          <w:i/>
          <w:iCs/>
          <w:szCs w:val="22"/>
          <w:lang w:val="en-GB"/>
        </w:rPr>
        <w:t>Geol. It.,</w:t>
      </w:r>
      <w:r w:rsidRPr="0002382D">
        <w:rPr>
          <w:rFonts w:ascii="Times New Roman" w:hAnsi="Times New Roman" w:cs="Times New Roman"/>
          <w:i/>
          <w:snapToGrid w:val="0"/>
          <w:szCs w:val="22"/>
          <w:lang w:val="en-GB"/>
        </w:rPr>
        <w:t xml:space="preserve"> </w:t>
      </w:r>
      <w:r w:rsidRPr="0002382D">
        <w:rPr>
          <w:rFonts w:ascii="Times New Roman" w:hAnsi="Times New Roman" w:cs="Times New Roman"/>
          <w:bCs/>
          <w:i/>
          <w:szCs w:val="22"/>
          <w:lang w:val="en-GB"/>
        </w:rPr>
        <w:t>106</w:t>
      </w:r>
      <w:r w:rsidRPr="0002382D">
        <w:rPr>
          <w:rFonts w:ascii="Times New Roman" w:hAnsi="Times New Roman" w:cs="Times New Roman"/>
          <w:szCs w:val="22"/>
          <w:lang w:val="en-GB"/>
        </w:rPr>
        <w:t xml:space="preserve">, 3-12.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Prelevic’ D. and S.F. Foley (2007), Accretion of arc-oceanic lithospheric mantle in the Mediterranean: Evidence from extremely high-Mg olivines and Cr-rich spinel inclusions in lamproites, </w:t>
      </w:r>
      <w:r w:rsidRPr="0002382D">
        <w:rPr>
          <w:rFonts w:ascii="Times New Roman" w:hAnsi="Times New Roman" w:cs="Times New Roman"/>
          <w:i/>
          <w:szCs w:val="22"/>
          <w:lang w:val="en-GB"/>
        </w:rPr>
        <w:t>Earth and Planet. Science Lett., 256</w:t>
      </w:r>
      <w:r w:rsidRPr="0002382D">
        <w:rPr>
          <w:rFonts w:ascii="Times New Roman" w:hAnsi="Times New Roman" w:cs="Times New Roman"/>
          <w:szCs w:val="22"/>
          <w:lang w:val="en-GB"/>
        </w:rPr>
        <w:t xml:space="preserve">, 120–135.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Rehault J.P., Boillot G. and A. Mauffret (1984), The western Mediterranean basin geological evolution, </w:t>
      </w:r>
      <w:r w:rsidRPr="0002382D">
        <w:rPr>
          <w:rFonts w:ascii="Times New Roman" w:hAnsi="Times New Roman" w:cs="Times New Roman"/>
          <w:i/>
          <w:iCs/>
          <w:szCs w:val="23"/>
          <w:lang w:val="en-GB"/>
        </w:rPr>
        <w:t>Marine Geology</w:t>
      </w:r>
      <w:r w:rsidRPr="0002382D">
        <w:rPr>
          <w:rFonts w:ascii="Times New Roman" w:hAnsi="Times New Roman" w:cs="Times New Roman"/>
          <w:i/>
          <w:szCs w:val="23"/>
          <w:lang w:val="en-GB"/>
        </w:rPr>
        <w:t xml:space="preserve">, </w:t>
      </w:r>
      <w:r w:rsidRPr="0002382D">
        <w:rPr>
          <w:rFonts w:ascii="Times New Roman" w:hAnsi="Times New Roman" w:cs="Times New Roman"/>
          <w:bCs/>
          <w:i/>
          <w:szCs w:val="23"/>
          <w:lang w:val="en-GB"/>
        </w:rPr>
        <w:t>55</w:t>
      </w:r>
      <w:r w:rsidRPr="0002382D">
        <w:rPr>
          <w:rFonts w:ascii="Times New Roman" w:hAnsi="Times New Roman" w:cs="Times New Roman"/>
          <w:bCs/>
          <w:szCs w:val="23"/>
          <w:lang w:val="en-GB"/>
        </w:rPr>
        <w:t>,</w:t>
      </w:r>
      <w:r w:rsidRPr="0002382D">
        <w:rPr>
          <w:rFonts w:ascii="Times New Roman" w:hAnsi="Times New Roman" w:cs="Times New Roman"/>
          <w:szCs w:val="23"/>
          <w:lang w:val="en-GB"/>
        </w:rPr>
        <w:t xml:space="preserve"> 447-477. </w:t>
      </w:r>
    </w:p>
    <w:p w:rsidR="007B6DBD" w:rsidRPr="0002382D" w:rsidRDefault="007B6DBD" w:rsidP="007B6DBD">
      <w:pPr>
        <w:pStyle w:val="Testonormale"/>
        <w:spacing w:line="240" w:lineRule="auto"/>
        <w:ind w:hanging="284"/>
        <w:jc w:val="both"/>
        <w:rPr>
          <w:rFonts w:ascii="Times New Roman" w:hAnsi="Times New Roman" w:cs="Times New Roman"/>
          <w:szCs w:val="22"/>
        </w:rPr>
      </w:pPr>
      <w:r w:rsidRPr="0002382D">
        <w:rPr>
          <w:rFonts w:ascii="Times New Roman" w:hAnsi="Times New Roman" w:cs="Times New Roman"/>
          <w:szCs w:val="22"/>
          <w:lang w:val="en-GB"/>
        </w:rPr>
        <w:t xml:space="preserve">Riviere M., Bouillin, J.P., Courtois, C., Gelard, J.P. and J.F. Raoult (1977), Etude mineralogique et geochimique des tuffites decouvertes dans l’Oligo-Miocene Kabyle (Grande Kabylie- Algerie). </w:t>
      </w:r>
      <w:r w:rsidRPr="0002382D">
        <w:rPr>
          <w:rFonts w:ascii="Times New Roman" w:hAnsi="Times New Roman" w:cs="Times New Roman"/>
          <w:szCs w:val="22"/>
        </w:rPr>
        <w:t xml:space="preserve">Compairason avec les tuffites de la region de Malaga (Espagne), </w:t>
      </w:r>
      <w:r w:rsidRPr="0002382D">
        <w:rPr>
          <w:rFonts w:ascii="Times New Roman" w:hAnsi="Times New Roman" w:cs="Times New Roman"/>
          <w:i/>
          <w:szCs w:val="22"/>
        </w:rPr>
        <w:t>Bulletin Societe Geologique de France, 19</w:t>
      </w:r>
      <w:r w:rsidRPr="0002382D">
        <w:rPr>
          <w:rFonts w:ascii="Times New Roman" w:hAnsi="Times New Roman" w:cs="Times New Roman"/>
          <w:szCs w:val="22"/>
        </w:rPr>
        <w:t xml:space="preserve">, 1171–1177. </w:t>
      </w:r>
    </w:p>
    <w:p w:rsidR="007B6DBD" w:rsidRPr="0002382D" w:rsidRDefault="007B6DBD" w:rsidP="007B6DBD">
      <w:pPr>
        <w:spacing w:line="240" w:lineRule="auto"/>
        <w:ind w:hanging="284"/>
        <w:rPr>
          <w:sz w:val="20"/>
          <w:szCs w:val="22"/>
          <w:lang w:val="it-IT"/>
        </w:rPr>
      </w:pPr>
      <w:r w:rsidRPr="0002382D">
        <w:rPr>
          <w:sz w:val="20"/>
          <w:szCs w:val="22"/>
          <w:lang w:val="it-IT"/>
        </w:rPr>
        <w:t xml:space="preserve">Robin, C., Colantoni, P., Gennesseaux, M. and J.P., Rehault (1987), Vavilov seamount: a mild alkaline Quaternary volcano in the Tyrrhenian basin, </w:t>
      </w:r>
      <w:r w:rsidRPr="0002382D">
        <w:rPr>
          <w:i/>
          <w:sz w:val="20"/>
          <w:szCs w:val="22"/>
          <w:lang w:val="it-IT"/>
        </w:rPr>
        <w:t>Marine Geol., 78</w:t>
      </w:r>
      <w:r w:rsidRPr="0002382D">
        <w:rPr>
          <w:sz w:val="20"/>
          <w:szCs w:val="22"/>
          <w:lang w:val="it-IT"/>
        </w:rPr>
        <w:t xml:space="preserve">, 125-136.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Rollet </w:t>
      </w:r>
      <w:r w:rsidRPr="0002382D">
        <w:rPr>
          <w:rFonts w:ascii="Times New Roman" w:hAnsi="Times New Roman" w:cs="Times New Roman"/>
          <w:color w:val="231F20"/>
          <w:szCs w:val="22"/>
          <w:lang w:val="en-GB"/>
        </w:rPr>
        <w:t>N.</w:t>
      </w:r>
      <w:r w:rsidRPr="0002382D">
        <w:rPr>
          <w:rFonts w:ascii="Times New Roman" w:hAnsi="Times New Roman" w:cs="Times New Roman"/>
          <w:szCs w:val="22"/>
          <w:lang w:val="en-GB"/>
        </w:rPr>
        <w:t xml:space="preserve">, J. Déverchère, M. Beslier, P. Guennoc, J. Réhault, M. and C. Sosson (2002), Truffert, </w:t>
      </w:r>
      <w:r w:rsidRPr="0002382D">
        <w:rPr>
          <w:rStyle w:val="title"/>
          <w:rFonts w:ascii="Times New Roman" w:hAnsi="Times New Roman"/>
          <w:szCs w:val="22"/>
          <w:lang w:val="en-GB"/>
        </w:rPr>
        <w:t>Back arc extension, tectonic inheritance, and volcanism in the Ligurian Sea, Western Mediterranean</w:t>
      </w:r>
      <w:r w:rsidRPr="0002382D">
        <w:rPr>
          <w:rFonts w:ascii="Times New Roman" w:hAnsi="Times New Roman" w:cs="Times New Roman"/>
          <w:szCs w:val="22"/>
          <w:lang w:val="en-GB"/>
        </w:rPr>
        <w:t xml:space="preserve">, </w:t>
      </w:r>
      <w:r w:rsidRPr="0002382D">
        <w:rPr>
          <w:rStyle w:val="ital"/>
          <w:rFonts w:ascii="Times New Roman" w:hAnsi="Times New Roman"/>
          <w:i/>
          <w:iCs/>
          <w:szCs w:val="22"/>
          <w:lang w:val="en-GB"/>
        </w:rPr>
        <w:t>Tectonics</w:t>
      </w:r>
      <w:r w:rsidRPr="0002382D">
        <w:rPr>
          <w:rFonts w:ascii="Times New Roman" w:hAnsi="Times New Roman" w:cs="Times New Roman"/>
          <w:i/>
          <w:szCs w:val="22"/>
          <w:lang w:val="en-GB"/>
        </w:rPr>
        <w:t xml:space="preserve">, </w:t>
      </w:r>
      <w:r w:rsidRPr="0002382D">
        <w:rPr>
          <w:rStyle w:val="ital"/>
          <w:rFonts w:ascii="Times New Roman" w:hAnsi="Times New Roman"/>
          <w:i/>
          <w:szCs w:val="22"/>
          <w:lang w:val="en-GB"/>
        </w:rPr>
        <w:t>21</w:t>
      </w:r>
      <w:r w:rsidRPr="0002382D">
        <w:rPr>
          <w:rFonts w:ascii="Times New Roman" w:hAnsi="Times New Roman" w:cs="Times New Roman"/>
          <w:i/>
          <w:szCs w:val="22"/>
          <w:lang w:val="en-GB"/>
        </w:rPr>
        <w:t>/3,</w:t>
      </w:r>
      <w:r w:rsidRPr="0002382D">
        <w:rPr>
          <w:rFonts w:ascii="Times New Roman" w:hAnsi="Times New Roman" w:cs="Times New Roman"/>
          <w:szCs w:val="22"/>
          <w:lang w:val="en-GB"/>
        </w:rPr>
        <w:t xml:space="preserve"> 1015, doi:10.1029/2001TC900027.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Rosenbaum G., Lister G.S. and C. Duboz (2002), Reconstruction of the tectonic evolution of the Western Mediterranean since the Oligocene, </w:t>
      </w:r>
      <w:r w:rsidRPr="0002382D">
        <w:rPr>
          <w:rFonts w:ascii="Times New Roman" w:hAnsi="Times New Roman" w:cs="Times New Roman"/>
          <w:i/>
          <w:szCs w:val="23"/>
          <w:lang w:val="en-GB"/>
        </w:rPr>
        <w:t>J. Virtual Explorer, 8</w:t>
      </w:r>
      <w:r w:rsidRPr="0002382D">
        <w:rPr>
          <w:rFonts w:ascii="Times New Roman" w:hAnsi="Times New Roman" w:cs="Times New Roman"/>
          <w:szCs w:val="23"/>
          <w:lang w:val="en-GB"/>
        </w:rPr>
        <w:t xml:space="preserve">, 107-126.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Rosenbaum, G., M. Gasparon, F. P. Lucente, A. Peccerillo, and M. S. Miller (2008), Kinematics of slab tear faults during subduction segmentation and implications for Italian magmatism, </w:t>
      </w:r>
      <w:r w:rsidRPr="0002382D">
        <w:rPr>
          <w:rFonts w:ascii="Times New Roman" w:hAnsi="Times New Roman" w:cs="Times New Roman"/>
          <w:i/>
          <w:szCs w:val="22"/>
          <w:lang w:val="en-GB"/>
        </w:rPr>
        <w:t>Tectonics</w:t>
      </w:r>
      <w:r w:rsidRPr="0002382D">
        <w:rPr>
          <w:rFonts w:ascii="Times New Roman" w:hAnsi="Times New Roman" w:cs="Times New Roman"/>
          <w:szCs w:val="22"/>
          <w:lang w:val="en-GB"/>
        </w:rPr>
        <w:t xml:space="preserve">, </w:t>
      </w:r>
      <w:r w:rsidRPr="0002382D">
        <w:rPr>
          <w:rFonts w:ascii="Times New Roman" w:hAnsi="Times New Roman" w:cs="Times New Roman"/>
          <w:i/>
          <w:szCs w:val="22"/>
          <w:lang w:val="en-GB"/>
        </w:rPr>
        <w:t>27</w:t>
      </w:r>
      <w:r w:rsidRPr="0002382D">
        <w:rPr>
          <w:rFonts w:ascii="Times New Roman" w:hAnsi="Times New Roman" w:cs="Times New Roman"/>
          <w:szCs w:val="22"/>
          <w:lang w:val="en-GB"/>
        </w:rPr>
        <w:t xml:space="preserve">, TC2008, doi:10.1029/2007TC002143.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Rossi P., Guennoc P., Rehault J.P. and 9 others (1998), Importance du volcanisme calco-alcalin Miocene sur la marge SO de la Corse (campagne Marco), </w:t>
      </w:r>
      <w:r w:rsidRPr="0002382D">
        <w:rPr>
          <w:rFonts w:ascii="Times New Roman" w:hAnsi="Times New Roman" w:cs="Times New Roman"/>
          <w:i/>
          <w:iCs/>
          <w:szCs w:val="22"/>
          <w:lang w:val="en-GB"/>
        </w:rPr>
        <w:t>Comptes Rendue Academie des Sciences, Paris,</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327</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 369-376.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Ryan W.B.F., Hsu K.J., Honnorez J., Weibel M., Cann J.R., Ferrara G., Bigazzi G., Bonadonna F.P. and O. Giuliani (1972), Petrology and geochemistry of the Valencia Trough volcanic rocks, </w:t>
      </w:r>
      <w:r w:rsidRPr="0002382D">
        <w:rPr>
          <w:rFonts w:ascii="Times New Roman" w:hAnsi="Times New Roman" w:cs="Times New Roman"/>
          <w:i/>
          <w:szCs w:val="22"/>
          <w:lang w:val="en-GB"/>
        </w:rPr>
        <w:t>Init. Rep. Deep Sea Drilling Project, 13</w:t>
      </w:r>
      <w:r w:rsidRPr="0002382D">
        <w:rPr>
          <w:rFonts w:ascii="Times New Roman" w:hAnsi="Times New Roman" w:cs="Times New Roman"/>
          <w:szCs w:val="22"/>
          <w:lang w:val="en-GB"/>
        </w:rPr>
        <w:t xml:space="preserve">, 767-773.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Sartori R., Torelli L., Zitellini N., Carrara G., Magaldia M. and P. Mussoni (2004), Crustal features along a W–E Tyrrhenian transect from Sardinia to Campania margins (Central Mediterranean). </w:t>
      </w:r>
      <w:r w:rsidRPr="0002382D">
        <w:rPr>
          <w:rFonts w:ascii="Times New Roman" w:hAnsi="Times New Roman" w:cs="Times New Roman"/>
          <w:i/>
          <w:iCs/>
          <w:szCs w:val="22"/>
          <w:lang w:val="en-GB"/>
        </w:rPr>
        <w:t>Tectonophysics,</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383</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 171– 192.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Savelli C., Beccaluva L., Deriu M., Macciotta G. and L. Maccioni (1979), K/Ar geochronology and evolution of the Tertiary “calcalkalic” volcanism of Sardinia (Italy), </w:t>
      </w:r>
      <w:r w:rsidRPr="0002382D">
        <w:rPr>
          <w:rFonts w:ascii="Times New Roman" w:hAnsi="Times New Roman" w:cs="Times New Roman"/>
          <w:i/>
          <w:iCs/>
          <w:szCs w:val="22"/>
          <w:lang w:val="en-GB"/>
        </w:rPr>
        <w:t>J. of Volcanology and Geothermal Research,</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5</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 257-269. </w:t>
      </w:r>
    </w:p>
    <w:p w:rsidR="007B6DBD" w:rsidRPr="0002382D" w:rsidRDefault="007B6DBD" w:rsidP="007B6DBD">
      <w:pPr>
        <w:spacing w:line="240" w:lineRule="auto"/>
        <w:ind w:hanging="284"/>
        <w:rPr>
          <w:sz w:val="20"/>
          <w:szCs w:val="22"/>
        </w:rPr>
      </w:pPr>
      <w:r w:rsidRPr="0002382D">
        <w:rPr>
          <w:sz w:val="20"/>
          <w:szCs w:val="22"/>
          <w:lang w:val="it-IT"/>
        </w:rPr>
        <w:t xml:space="preserve">Savelli C. (1984), Evoluzione del vulcanismo cenozoico (da 30 Ma al presente) nel Mar Tirreno e nelle aree circostanti: ipotesi geocronologica sulle fasi dell’espansione oceanica, (Cenozoic volcanism evolution in the Tyrrhenian region: geochronological hypothesis on the phases of oceanic accretion, English abstract), </w:t>
      </w:r>
      <w:r w:rsidRPr="0002382D">
        <w:rPr>
          <w:i/>
          <w:sz w:val="20"/>
          <w:szCs w:val="22"/>
          <w:lang w:val="it-IT"/>
        </w:rPr>
        <w:t xml:space="preserve">Mem. Soc. </w:t>
      </w:r>
      <w:r w:rsidRPr="0002382D">
        <w:rPr>
          <w:i/>
          <w:sz w:val="20"/>
          <w:szCs w:val="22"/>
        </w:rPr>
        <w:t>Geologica It., 27</w:t>
      </w:r>
      <w:r w:rsidRPr="0002382D">
        <w:rPr>
          <w:sz w:val="20"/>
          <w:szCs w:val="22"/>
        </w:rPr>
        <w:t xml:space="preserve">, 111-119. </w:t>
      </w:r>
    </w:p>
    <w:p w:rsidR="007B6DBD" w:rsidRPr="0002382D" w:rsidRDefault="007B6DBD" w:rsidP="007B6DBD">
      <w:pPr>
        <w:spacing w:line="240" w:lineRule="auto"/>
        <w:ind w:hanging="284"/>
        <w:rPr>
          <w:sz w:val="20"/>
          <w:szCs w:val="22"/>
        </w:rPr>
      </w:pPr>
      <w:r w:rsidRPr="0002382D">
        <w:rPr>
          <w:sz w:val="20"/>
          <w:szCs w:val="22"/>
        </w:rPr>
        <w:t xml:space="preserve">Savelli, C. &amp; Gasparotto, G., (1994), Calcalkaline magmatism and rifting of the deep-water volcano of Marsili (Aeolian back-arc, Tyrrhenian sea), </w:t>
      </w:r>
      <w:r w:rsidRPr="0002382D">
        <w:rPr>
          <w:i/>
          <w:sz w:val="20"/>
          <w:szCs w:val="22"/>
        </w:rPr>
        <w:t>Marine Geology,</w:t>
      </w:r>
      <w:r w:rsidRPr="0002382D">
        <w:rPr>
          <w:sz w:val="20"/>
          <w:szCs w:val="22"/>
        </w:rPr>
        <w:t xml:space="preserve"> </w:t>
      </w:r>
      <w:r w:rsidRPr="0002382D">
        <w:rPr>
          <w:i/>
          <w:sz w:val="20"/>
          <w:szCs w:val="22"/>
        </w:rPr>
        <w:t>119</w:t>
      </w:r>
      <w:r w:rsidRPr="0002382D">
        <w:rPr>
          <w:sz w:val="20"/>
          <w:szCs w:val="22"/>
        </w:rPr>
        <w:t xml:space="preserve">, 137–147. </w:t>
      </w:r>
    </w:p>
    <w:p w:rsidR="007B6DBD" w:rsidRPr="0002382D" w:rsidRDefault="007B6DBD" w:rsidP="007B6DBD">
      <w:pPr>
        <w:spacing w:line="240" w:lineRule="auto"/>
        <w:ind w:hanging="284"/>
        <w:rPr>
          <w:sz w:val="20"/>
          <w:szCs w:val="22"/>
        </w:rPr>
      </w:pPr>
      <w:r w:rsidRPr="0002382D">
        <w:rPr>
          <w:sz w:val="20"/>
          <w:szCs w:val="22"/>
        </w:rPr>
        <w:t xml:space="preserve">Savelli, C., (2000), Subduction-related episodes of K-alkaline magmatism (15–0 Ma) and geodynamic implications in the north Tyrrhenian-central Italy region: a review. </w:t>
      </w:r>
      <w:r w:rsidRPr="0002382D">
        <w:rPr>
          <w:i/>
          <w:sz w:val="20"/>
          <w:szCs w:val="22"/>
        </w:rPr>
        <w:t>Journal of Geodynamics, 30</w:t>
      </w:r>
      <w:r w:rsidRPr="0002382D">
        <w:rPr>
          <w:sz w:val="20"/>
          <w:szCs w:val="22"/>
        </w:rPr>
        <w:t xml:space="preserve">, 575–591.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Savelli, C. (2002), Time-space distribution of magmatic activity in the western Mediterranean and peripheral orogens during the past 30 Ma (a stimulus to geodynamic considerations</w:t>
      </w:r>
      <w:r w:rsidRPr="0002382D">
        <w:rPr>
          <w:rFonts w:ascii="Times New Roman" w:hAnsi="Times New Roman" w:cs="Times New Roman"/>
          <w:i/>
          <w:szCs w:val="22"/>
          <w:lang w:val="en-GB"/>
        </w:rPr>
        <w:t>)</w:t>
      </w:r>
      <w:r w:rsidRPr="0002382D">
        <w:rPr>
          <w:rFonts w:ascii="Times New Roman" w:hAnsi="Times New Roman" w:cs="Times New Roman"/>
          <w:szCs w:val="22"/>
          <w:lang w:val="en-GB"/>
        </w:rPr>
        <w:t>,</w:t>
      </w:r>
      <w:r w:rsidRPr="0002382D">
        <w:rPr>
          <w:rFonts w:ascii="Times New Roman" w:hAnsi="Times New Roman" w:cs="Times New Roman"/>
          <w:i/>
          <w:szCs w:val="22"/>
          <w:lang w:val="en-GB"/>
        </w:rPr>
        <w:t xml:space="preserve"> </w:t>
      </w:r>
      <w:r w:rsidRPr="0002382D">
        <w:rPr>
          <w:rFonts w:ascii="Times New Roman" w:hAnsi="Times New Roman" w:cs="Times New Roman"/>
          <w:i/>
          <w:iCs/>
          <w:szCs w:val="22"/>
          <w:lang w:val="en-GB"/>
        </w:rPr>
        <w:t>J. of Geodynamics</w:t>
      </w:r>
      <w:r w:rsidRPr="0002382D">
        <w:rPr>
          <w:rFonts w:ascii="Times New Roman" w:hAnsi="Times New Roman" w:cs="Times New Roman"/>
          <w:szCs w:val="22"/>
          <w:lang w:val="en-GB"/>
        </w:rPr>
        <w:t xml:space="preserve">, </w:t>
      </w:r>
      <w:r w:rsidRPr="0002382D">
        <w:rPr>
          <w:rFonts w:ascii="Times New Roman" w:hAnsi="Times New Roman" w:cs="Times New Roman"/>
          <w:bCs/>
          <w:i/>
          <w:szCs w:val="22"/>
          <w:lang w:val="en-GB"/>
        </w:rPr>
        <w:t>34</w:t>
      </w:r>
      <w:r w:rsidRPr="0002382D">
        <w:rPr>
          <w:rFonts w:ascii="Times New Roman" w:hAnsi="Times New Roman" w:cs="Times New Roman"/>
          <w:bCs/>
          <w:szCs w:val="22"/>
          <w:lang w:val="en-GB"/>
        </w:rPr>
        <w:t>,</w:t>
      </w:r>
      <w:r w:rsidRPr="0002382D">
        <w:rPr>
          <w:rFonts w:ascii="Times New Roman" w:hAnsi="Times New Roman" w:cs="Times New Roman"/>
          <w:szCs w:val="22"/>
          <w:lang w:val="en-GB"/>
        </w:rPr>
        <w:t xml:space="preserve"> 99-126.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Savelli, C., </w:t>
      </w:r>
      <w:r w:rsidRPr="0002382D">
        <w:rPr>
          <w:rFonts w:ascii="Times New Roman" w:hAnsi="Times New Roman" w:cs="Times New Roman"/>
          <w:color w:val="231F20"/>
          <w:szCs w:val="23"/>
          <w:lang w:val="en-GB"/>
        </w:rPr>
        <w:t xml:space="preserve">2005. Post-Eocene calcalkaline activity and basin opening in the western and central Mediterranean region: implications for magma source metasomatism linked to Hercynian orogeny. </w:t>
      </w:r>
      <w:r w:rsidRPr="0002382D">
        <w:rPr>
          <w:rFonts w:ascii="Times New Roman" w:hAnsi="Times New Roman" w:cs="Times New Roman"/>
          <w:i/>
          <w:iCs/>
          <w:color w:val="231F20"/>
          <w:szCs w:val="23"/>
          <w:lang w:val="en-GB"/>
        </w:rPr>
        <w:t>Boll. Soc. Geol. It.</w:t>
      </w:r>
      <w:r w:rsidRPr="0002382D">
        <w:rPr>
          <w:rFonts w:ascii="Times New Roman" w:hAnsi="Times New Roman" w:cs="Times New Roman"/>
          <w:i/>
          <w:color w:val="231F20"/>
          <w:szCs w:val="23"/>
          <w:lang w:val="en-GB"/>
        </w:rPr>
        <w:t>, Special Volume n. 4</w:t>
      </w:r>
      <w:r w:rsidRPr="0002382D">
        <w:rPr>
          <w:rFonts w:ascii="Times New Roman" w:hAnsi="Times New Roman" w:cs="Times New Roman"/>
          <w:color w:val="231F20"/>
          <w:szCs w:val="23"/>
          <w:lang w:val="en-GB"/>
        </w:rPr>
        <w:t>, 119-125.</w:t>
      </w:r>
      <w:r w:rsidRPr="0002382D">
        <w:rPr>
          <w:rFonts w:ascii="Times New Roman" w:hAnsi="Times New Roman" w:cs="Times New Roman"/>
          <w:szCs w:val="23"/>
          <w:lang w:val="en-GB"/>
        </w:rPr>
        <w:t xml:space="preserve">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Savelli, C., 2011. The west Mediterranean-Tyrrhenian since the Oligocene: Post-collision development of calc-alkaline volcanism and basin formation. 7° Forum of Earth Sciences, Torino, 101474/Epitome.04.0542.Geoitalia 2011</w:t>
      </w:r>
    </w:p>
    <w:p w:rsidR="007B6DBD" w:rsidRPr="0002382D" w:rsidRDefault="007B6DBD" w:rsidP="007B6DBD">
      <w:pPr>
        <w:pStyle w:val="Testonormale"/>
        <w:spacing w:line="240" w:lineRule="auto"/>
        <w:ind w:hanging="284"/>
        <w:jc w:val="both"/>
        <w:rPr>
          <w:rFonts w:ascii="Times New Roman" w:hAnsi="Times New Roman" w:cs="Times New Roman"/>
          <w:szCs w:val="23"/>
        </w:rPr>
      </w:pPr>
      <w:r w:rsidRPr="0002382D">
        <w:rPr>
          <w:rFonts w:ascii="Times New Roman" w:hAnsi="Times New Roman" w:cs="Times New Roman"/>
          <w:szCs w:val="23"/>
          <w:lang w:val="en-GB"/>
        </w:rPr>
        <w:t xml:space="preserve">Scrocca D., Doglioni C. and E. Carminati (2005), Deep structure of the southern Apennines, Italy: Thin-skinned or thick-skinned? </w:t>
      </w:r>
      <w:r w:rsidRPr="0002382D">
        <w:rPr>
          <w:rFonts w:ascii="Times New Roman" w:hAnsi="Times New Roman" w:cs="Times New Roman"/>
          <w:i/>
          <w:szCs w:val="23"/>
        </w:rPr>
        <w:t xml:space="preserve">Tectonics, </w:t>
      </w:r>
      <w:r w:rsidRPr="0002382D">
        <w:rPr>
          <w:rFonts w:ascii="Times New Roman" w:hAnsi="Times New Roman" w:cs="Times New Roman"/>
          <w:bCs/>
          <w:i/>
          <w:szCs w:val="23"/>
        </w:rPr>
        <w:t>24</w:t>
      </w:r>
      <w:r w:rsidRPr="0002382D">
        <w:rPr>
          <w:rFonts w:ascii="Times New Roman" w:hAnsi="Times New Roman" w:cs="Times New Roman"/>
          <w:szCs w:val="23"/>
        </w:rPr>
        <w:t xml:space="preserve"> TC3005, Doi:10.1029/2004tc001634. </w:t>
      </w:r>
    </w:p>
    <w:p w:rsidR="007B6DBD" w:rsidRPr="0002382D" w:rsidRDefault="007B6DBD" w:rsidP="007B6DBD">
      <w:pPr>
        <w:spacing w:line="240" w:lineRule="auto"/>
        <w:ind w:hanging="284"/>
        <w:rPr>
          <w:sz w:val="20"/>
          <w:szCs w:val="22"/>
        </w:rPr>
      </w:pPr>
      <w:r w:rsidRPr="0002382D">
        <w:rPr>
          <w:sz w:val="20"/>
          <w:szCs w:val="22"/>
          <w:lang w:val="it-IT"/>
        </w:rPr>
        <w:t xml:space="preserve">Selli, R., Lucchini, F., Rossi, P.L., Savelli, C. and M., Del Monte (1977), Dati geologici, petrochimici e radiometrici sui vulcani centro-tirrenici, </w:t>
      </w:r>
      <w:r w:rsidRPr="0002382D">
        <w:rPr>
          <w:i/>
          <w:sz w:val="20"/>
          <w:szCs w:val="22"/>
          <w:lang w:val="it-IT"/>
        </w:rPr>
        <w:t xml:space="preserve">Giorn. </w:t>
      </w:r>
      <w:r w:rsidRPr="0002382D">
        <w:rPr>
          <w:i/>
          <w:sz w:val="20"/>
          <w:szCs w:val="22"/>
        </w:rPr>
        <w:t>Geol., 42/1</w:t>
      </w:r>
      <w:r w:rsidRPr="0002382D">
        <w:rPr>
          <w:sz w:val="20"/>
          <w:szCs w:val="22"/>
        </w:rPr>
        <w:t xml:space="preserve">, 221-246.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Serri, G., Innocenti F. and P. Manetti (1993), Geochemical and petrological evidence of the subduction of delaminated Adriatic continental lithosphere in the genesis of the Neogene-Quaternary magmatism of central Italy, </w:t>
      </w:r>
      <w:r w:rsidRPr="0002382D">
        <w:rPr>
          <w:rFonts w:ascii="Times New Roman" w:hAnsi="Times New Roman" w:cs="Times New Roman"/>
          <w:i/>
          <w:szCs w:val="22"/>
          <w:lang w:val="en-GB"/>
        </w:rPr>
        <w:t>Tectonophysics, 223,</w:t>
      </w:r>
      <w:r w:rsidRPr="0002382D">
        <w:rPr>
          <w:rFonts w:ascii="Times New Roman" w:hAnsi="Times New Roman" w:cs="Times New Roman"/>
          <w:szCs w:val="22"/>
          <w:lang w:val="en-GB"/>
        </w:rPr>
        <w:t xml:space="preserve"> 117 – 147. </w:t>
      </w:r>
    </w:p>
    <w:p w:rsidR="007B6DBD" w:rsidRPr="0002382D" w:rsidRDefault="007B6DBD" w:rsidP="007B6DBD">
      <w:pPr>
        <w:autoSpaceDN w:val="0"/>
        <w:adjustRightInd w:val="0"/>
        <w:spacing w:line="240" w:lineRule="auto"/>
        <w:ind w:hanging="284"/>
        <w:rPr>
          <w:sz w:val="20"/>
          <w:szCs w:val="22"/>
        </w:rPr>
      </w:pPr>
      <w:r w:rsidRPr="0002382D">
        <w:rPr>
          <w:sz w:val="20"/>
          <w:szCs w:val="22"/>
          <w:lang w:val="it-IT"/>
        </w:rPr>
        <w:t xml:space="preserve">Spadea P. and R. Carmisciano (1974), Nuovi dati sulle cineriti riodacitiche del Miocene medio della Sicilia centro-meridionale, (New data on mid Miocene rhyodacitic ashes of south-central Sicily), </w:t>
      </w:r>
      <w:r w:rsidRPr="0002382D">
        <w:rPr>
          <w:i/>
          <w:sz w:val="20"/>
          <w:szCs w:val="22"/>
          <w:lang w:val="it-IT"/>
        </w:rPr>
        <w:t xml:space="preserve">Boll. Soc. </w:t>
      </w:r>
      <w:r w:rsidRPr="0002382D">
        <w:rPr>
          <w:i/>
          <w:sz w:val="20"/>
          <w:szCs w:val="22"/>
        </w:rPr>
        <w:t>Geol. It., 93</w:t>
      </w:r>
      <w:r w:rsidRPr="0002382D">
        <w:rPr>
          <w:sz w:val="20"/>
          <w:szCs w:val="22"/>
        </w:rPr>
        <w:t xml:space="preserve">, 1095-1126. </w:t>
      </w:r>
    </w:p>
    <w:p w:rsidR="007B6DBD" w:rsidRPr="0002382D" w:rsidRDefault="007B6DBD" w:rsidP="007B6DBD">
      <w:pPr>
        <w:pStyle w:val="Testonormale"/>
        <w:spacing w:line="240" w:lineRule="auto"/>
        <w:ind w:hanging="284"/>
        <w:jc w:val="both"/>
        <w:rPr>
          <w:rFonts w:ascii="Times New Roman" w:hAnsi="Times New Roman" w:cs="Times New Roman"/>
          <w:color w:val="000000"/>
          <w:szCs w:val="23"/>
          <w:lang w:val="en-GB"/>
        </w:rPr>
      </w:pPr>
      <w:r w:rsidRPr="0002382D">
        <w:rPr>
          <w:rFonts w:ascii="Times New Roman" w:hAnsi="Times New Roman" w:cs="Times New Roman"/>
          <w:color w:val="000000"/>
          <w:szCs w:val="23"/>
          <w:lang w:val="en-GB"/>
        </w:rPr>
        <w:t xml:space="preserve">Spakman W. and M.J.R. Wortel (2004), A tomographic view on western Mediterranean Geodynamics, in: W. Cavazza, F.M. Roure, W. Spakman, G.M. Stampfli, P.A. Ziegler (Eds.), </w:t>
      </w:r>
      <w:r w:rsidRPr="0002382D">
        <w:rPr>
          <w:rFonts w:ascii="Times New Roman" w:hAnsi="Times New Roman" w:cs="Times New Roman"/>
          <w:i/>
          <w:color w:val="000000"/>
          <w:szCs w:val="23"/>
          <w:lang w:val="en-GB"/>
        </w:rPr>
        <w:t>The Transmed Atlas – The Mediterranean Region from Crust to Mantle</w:t>
      </w:r>
      <w:r w:rsidRPr="0002382D">
        <w:rPr>
          <w:rFonts w:ascii="Times New Roman" w:hAnsi="Times New Roman" w:cs="Times New Roman"/>
          <w:color w:val="000000"/>
          <w:szCs w:val="23"/>
          <w:lang w:val="en-GB"/>
        </w:rPr>
        <w:t xml:space="preserve">, Springer, Berlin, pp. 31–52. </w:t>
      </w:r>
    </w:p>
    <w:p w:rsidR="007B6DBD" w:rsidRPr="0002382D" w:rsidRDefault="007B6DBD" w:rsidP="007B6DBD">
      <w:pPr>
        <w:spacing w:line="240" w:lineRule="auto"/>
        <w:ind w:hanging="266"/>
        <w:rPr>
          <w:sz w:val="20"/>
          <w:szCs w:val="22"/>
          <w:lang w:val="it-IT"/>
        </w:rPr>
      </w:pPr>
      <w:r w:rsidRPr="0002382D">
        <w:rPr>
          <w:sz w:val="20"/>
          <w:szCs w:val="22"/>
        </w:rPr>
        <w:t xml:space="preserve">Stewart J. H., (1978), Basin-range structure in western North America: A review. </w:t>
      </w:r>
      <w:r w:rsidRPr="0002382D">
        <w:rPr>
          <w:i/>
          <w:sz w:val="20"/>
          <w:szCs w:val="22"/>
          <w:lang w:val="it-IT"/>
        </w:rPr>
        <w:t>Geological Society of America Memoirs, 152</w:t>
      </w:r>
      <w:r w:rsidRPr="0002382D">
        <w:rPr>
          <w:sz w:val="20"/>
          <w:szCs w:val="22"/>
          <w:lang w:val="it-IT"/>
        </w:rPr>
        <w:t>, 1-32. doi:10.1130/MEM152-p1</w:t>
      </w:r>
    </w:p>
    <w:p w:rsidR="007B6DBD" w:rsidRPr="0002382D" w:rsidRDefault="007B6DBD" w:rsidP="007B6DBD">
      <w:pPr>
        <w:pStyle w:val="Testonormale"/>
        <w:spacing w:line="240" w:lineRule="auto"/>
        <w:ind w:hanging="284"/>
        <w:jc w:val="both"/>
        <w:rPr>
          <w:rFonts w:ascii="Times New Roman" w:hAnsi="Times New Roman" w:cs="Times New Roman"/>
          <w:szCs w:val="22"/>
        </w:rPr>
      </w:pPr>
      <w:r w:rsidRPr="0002382D">
        <w:rPr>
          <w:rFonts w:ascii="Times New Roman" w:hAnsi="Times New Roman" w:cs="Times New Roman"/>
          <w:szCs w:val="22"/>
        </w:rPr>
        <w:t xml:space="preserve">Tateo F. (1993), Intercalazioni vulcano-sedimentarie nella Formazione di Antognola: le sezioni “Rio Nespolo” e “M.Varano” (Oligocene superiore, Appennino parmense), </w:t>
      </w:r>
      <w:r w:rsidRPr="0002382D">
        <w:rPr>
          <w:rFonts w:ascii="Times New Roman" w:hAnsi="Times New Roman" w:cs="Times New Roman"/>
          <w:i/>
          <w:iCs/>
          <w:szCs w:val="22"/>
        </w:rPr>
        <w:t>Mineralogica Petrographica Acta,</w:t>
      </w:r>
      <w:r w:rsidRPr="0002382D">
        <w:rPr>
          <w:rFonts w:ascii="Times New Roman" w:hAnsi="Times New Roman" w:cs="Times New Roman"/>
          <w:szCs w:val="22"/>
        </w:rPr>
        <w:t xml:space="preserve"> </w:t>
      </w:r>
      <w:r w:rsidRPr="0002382D">
        <w:rPr>
          <w:rFonts w:ascii="Times New Roman" w:hAnsi="Times New Roman" w:cs="Times New Roman"/>
          <w:bCs/>
          <w:i/>
          <w:szCs w:val="22"/>
        </w:rPr>
        <w:t>36</w:t>
      </w:r>
      <w:r w:rsidRPr="0002382D">
        <w:rPr>
          <w:rFonts w:ascii="Times New Roman" w:hAnsi="Times New Roman" w:cs="Times New Roman"/>
          <w:bCs/>
          <w:szCs w:val="22"/>
        </w:rPr>
        <w:t>,</w:t>
      </w:r>
      <w:r w:rsidRPr="0002382D">
        <w:rPr>
          <w:rFonts w:ascii="Times New Roman" w:hAnsi="Times New Roman" w:cs="Times New Roman"/>
          <w:szCs w:val="22"/>
        </w:rPr>
        <w:t xml:space="preserve"> 61-79. </w:t>
      </w:r>
    </w:p>
    <w:p w:rsidR="007B6DBD" w:rsidRPr="0002382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lastRenderedPageBreak/>
        <w:t>Tatsumi, Y., Maruyama, S. and Nohda, S., 1990. Mechanism of backarc opening in the Japan Sea: role of asthenospheric injection. In: M. Kono and B.C. Burchfiel (Editors), Tectonics of Eastern Asia and Western Pacific Continental Margin. Tectonophysics, 181: 299-306.</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Torres Roldan R.L., Poli G. And A. Peccerillo (1986), An early Miocene arc-tholeiitic magmatic event from the Alboran Sea - Evidence for precollisional subduction and back-arc crustal extension in the westernmost Mediterranean, </w:t>
      </w:r>
      <w:r w:rsidRPr="0002382D">
        <w:rPr>
          <w:rFonts w:ascii="Times New Roman" w:hAnsi="Times New Roman" w:cs="Times New Roman"/>
          <w:i/>
          <w:iCs/>
          <w:szCs w:val="22"/>
          <w:lang w:val="en-GB"/>
        </w:rPr>
        <w:t>Geologische Rundschau,</w:t>
      </w:r>
      <w:r w:rsidRPr="0002382D">
        <w:rPr>
          <w:rFonts w:ascii="Times New Roman" w:hAnsi="Times New Roman" w:cs="Times New Roman"/>
          <w:i/>
          <w:szCs w:val="22"/>
          <w:lang w:val="en-GB"/>
        </w:rPr>
        <w:t xml:space="preserve"> </w:t>
      </w:r>
      <w:r w:rsidRPr="0002382D">
        <w:rPr>
          <w:rFonts w:ascii="Times New Roman" w:hAnsi="Times New Roman" w:cs="Times New Roman"/>
          <w:bCs/>
          <w:i/>
          <w:szCs w:val="22"/>
          <w:lang w:val="en-GB"/>
        </w:rPr>
        <w:t>75</w:t>
      </w:r>
      <w:r w:rsidRPr="0002382D">
        <w:rPr>
          <w:rFonts w:ascii="Times New Roman" w:hAnsi="Times New Roman" w:cs="Times New Roman"/>
          <w:i/>
          <w:szCs w:val="22"/>
          <w:lang w:val="en-GB"/>
        </w:rPr>
        <w:t>/1</w:t>
      </w:r>
      <w:r w:rsidRPr="0002382D">
        <w:rPr>
          <w:rFonts w:ascii="Times New Roman" w:hAnsi="Times New Roman" w:cs="Times New Roman"/>
          <w:szCs w:val="22"/>
          <w:lang w:val="en-GB"/>
        </w:rPr>
        <w:t xml:space="preserve">, 219-234. </w:t>
      </w:r>
    </w:p>
    <w:p w:rsidR="007B6DBD" w:rsidRPr="0002382D" w:rsidRDefault="007B6DBD" w:rsidP="007B6DBD">
      <w:pPr>
        <w:pStyle w:val="Testonormale"/>
        <w:spacing w:line="240" w:lineRule="auto"/>
        <w:ind w:hanging="284"/>
        <w:jc w:val="both"/>
        <w:rPr>
          <w:rFonts w:ascii="Times New Roman" w:eastAsia="Calibri" w:hAnsi="Times New Roman" w:cs="Times New Roman"/>
          <w:bCs/>
          <w:color w:val="231F20"/>
          <w:szCs w:val="22"/>
          <w:lang w:val="en-GB" w:eastAsia="en-US"/>
        </w:rPr>
      </w:pPr>
      <w:r w:rsidRPr="0002382D">
        <w:rPr>
          <w:rFonts w:ascii="Times New Roman" w:eastAsia="Calibri" w:hAnsi="Times New Roman" w:cs="Times New Roman"/>
          <w:color w:val="231F20"/>
          <w:szCs w:val="22"/>
          <w:lang w:val="en-GB" w:eastAsia="en-US"/>
        </w:rPr>
        <w:t xml:space="preserve">Trua T., Serri G., Rossi P.L. (2004) </w:t>
      </w:r>
      <w:r w:rsidRPr="0002382D">
        <w:rPr>
          <w:rFonts w:ascii="Times New Roman" w:eastAsia="Calibri" w:hAnsi="Times New Roman" w:cs="Times New Roman"/>
          <w:bCs/>
          <w:color w:val="231F20"/>
          <w:szCs w:val="22"/>
          <w:lang w:val="en-GB" w:eastAsia="en-US"/>
        </w:rPr>
        <w:t xml:space="preserve">Coexistence of IAB-type and OIB-type magmas in the southern Tyrrhenian back-arc basin: evidence from recent seafloor sampling and geodynamic implications </w:t>
      </w:r>
      <w:r w:rsidRPr="0002382D">
        <w:rPr>
          <w:rFonts w:ascii="Times New Roman" w:eastAsia="Calibri" w:hAnsi="Times New Roman" w:cs="Times New Roman"/>
          <w:i/>
          <w:iCs/>
          <w:color w:val="231F20"/>
          <w:szCs w:val="22"/>
          <w:lang w:val="en-GB" w:eastAsia="en-US"/>
        </w:rPr>
        <w:t xml:space="preserve">Mem. Descr. Carta Geol. d’It. </w:t>
      </w:r>
      <w:r w:rsidRPr="0002382D">
        <w:rPr>
          <w:rFonts w:ascii="Times New Roman" w:eastAsia="Calibri" w:hAnsi="Times New Roman" w:cs="Times New Roman"/>
          <w:color w:val="231F20"/>
          <w:szCs w:val="22"/>
          <w:lang w:val="en-GB" w:eastAsia="en-US"/>
        </w:rPr>
        <w:t xml:space="preserve">XLIV (2004), pp.83-96. </w:t>
      </w:r>
    </w:p>
    <w:p w:rsidR="007B6DBD" w:rsidRPr="0002382D" w:rsidRDefault="007B6DBD" w:rsidP="007B6DBD">
      <w:pPr>
        <w:pStyle w:val="Testonormale"/>
        <w:spacing w:line="240" w:lineRule="auto"/>
        <w:ind w:hanging="284"/>
        <w:jc w:val="both"/>
        <w:rPr>
          <w:rFonts w:ascii="Times New Roman" w:hAnsi="Times New Roman" w:cs="Times New Roman"/>
          <w:szCs w:val="22"/>
          <w:lang w:val="en-GB"/>
        </w:rPr>
      </w:pPr>
      <w:r w:rsidRPr="0002382D">
        <w:rPr>
          <w:rFonts w:ascii="Times New Roman" w:hAnsi="Times New Roman" w:cs="Times New Roman"/>
          <w:szCs w:val="22"/>
          <w:lang w:val="en-GB"/>
        </w:rPr>
        <w:t xml:space="preserve">Trua, T., Clocchiatti R., Schiano P., Ottolini L. and M. Marani (2010), The heterogeneous nature of the Southern Tyrrhenian mantle: Evidence from olivine-hosted melt inclusions from back-arc magmas of the Marsili seamount, </w:t>
      </w:r>
      <w:r w:rsidRPr="0002382D">
        <w:rPr>
          <w:rFonts w:ascii="Times New Roman" w:hAnsi="Times New Roman" w:cs="Times New Roman"/>
          <w:i/>
          <w:szCs w:val="22"/>
          <w:lang w:val="en-GB"/>
        </w:rPr>
        <w:t>Lithos</w:t>
      </w:r>
      <w:r w:rsidRPr="0002382D">
        <w:rPr>
          <w:rFonts w:ascii="Times New Roman" w:hAnsi="Times New Roman" w:cs="Times New Roman"/>
          <w:szCs w:val="22"/>
          <w:lang w:val="en-GB"/>
        </w:rPr>
        <w:t xml:space="preserve">, </w:t>
      </w:r>
      <w:r w:rsidRPr="0002382D">
        <w:rPr>
          <w:rFonts w:ascii="Times New Roman" w:hAnsi="Times New Roman" w:cs="Times New Roman"/>
          <w:i/>
          <w:szCs w:val="22"/>
          <w:lang w:val="en-GB"/>
        </w:rPr>
        <w:t>118</w:t>
      </w:r>
      <w:r w:rsidRPr="0002382D">
        <w:rPr>
          <w:rFonts w:ascii="Times New Roman" w:hAnsi="Times New Roman" w:cs="Times New Roman"/>
          <w:szCs w:val="22"/>
          <w:lang w:val="en-GB"/>
        </w:rPr>
        <w:t xml:space="preserve">, 1-16 doi:10.1016/j.lithos.2010.03.008 </w:t>
      </w:r>
    </w:p>
    <w:p w:rsidR="007B6DBD" w:rsidRPr="0002382D" w:rsidRDefault="007B6DBD" w:rsidP="007B6DBD">
      <w:pPr>
        <w:spacing w:line="240" w:lineRule="auto"/>
        <w:ind w:hanging="284"/>
        <w:rPr>
          <w:sz w:val="20"/>
          <w:szCs w:val="22"/>
        </w:rPr>
      </w:pPr>
      <w:r w:rsidRPr="0002382D">
        <w:rPr>
          <w:sz w:val="20"/>
          <w:szCs w:val="22"/>
        </w:rPr>
        <w:t xml:space="preserve">Turner S.P., Platt J.P., George R.M.M., Kelley S.P., Pearson D.G. and G.M. Nowell (1999), Magmatism associated with orogenic collapse of the Betic-Alboran Domain, SE Spain, </w:t>
      </w:r>
      <w:r w:rsidRPr="0002382D">
        <w:rPr>
          <w:i/>
          <w:iCs/>
          <w:sz w:val="20"/>
          <w:szCs w:val="22"/>
        </w:rPr>
        <w:t>J. Petrol. 40,</w:t>
      </w:r>
      <w:r w:rsidRPr="0002382D">
        <w:rPr>
          <w:sz w:val="20"/>
          <w:szCs w:val="22"/>
        </w:rPr>
        <w:t xml:space="preserve"> 1011 - 1036. </w:t>
      </w:r>
    </w:p>
    <w:p w:rsidR="007B6DBD" w:rsidRPr="0002382D" w:rsidRDefault="007B6DBD" w:rsidP="007B6DBD">
      <w:pPr>
        <w:spacing w:line="240" w:lineRule="auto"/>
        <w:ind w:hanging="284"/>
        <w:rPr>
          <w:sz w:val="20"/>
          <w:szCs w:val="23"/>
        </w:rPr>
      </w:pPr>
      <w:r w:rsidRPr="0002382D">
        <w:rPr>
          <w:sz w:val="20"/>
          <w:szCs w:val="23"/>
        </w:rPr>
        <w:t xml:space="preserve">Vignaroli G., Faccenna C., Jolivet L., Piromallo C. and F. Rossetti (2008), Subduction polarity reversal at the junction between the Western Alps and the Northern Apennines, Italy, </w:t>
      </w:r>
      <w:r w:rsidRPr="0002382D">
        <w:rPr>
          <w:i/>
          <w:sz w:val="20"/>
          <w:szCs w:val="23"/>
        </w:rPr>
        <w:t>Tectonophys</w:t>
      </w:r>
      <w:r w:rsidRPr="0002382D">
        <w:rPr>
          <w:sz w:val="20"/>
          <w:szCs w:val="23"/>
        </w:rPr>
        <w:t xml:space="preserve">., </w:t>
      </w:r>
      <w:r w:rsidRPr="0002382D">
        <w:rPr>
          <w:i/>
          <w:sz w:val="20"/>
          <w:szCs w:val="23"/>
        </w:rPr>
        <w:t>450</w:t>
      </w:r>
      <w:r w:rsidRPr="0002382D">
        <w:rPr>
          <w:sz w:val="20"/>
          <w:szCs w:val="23"/>
        </w:rPr>
        <w:t xml:space="preserve">, 34-50. </w:t>
      </w:r>
    </w:p>
    <w:p w:rsidR="007B6DBD" w:rsidRPr="0002382D" w:rsidRDefault="007B6DBD" w:rsidP="007B6DBD">
      <w:pPr>
        <w:spacing w:line="240" w:lineRule="auto"/>
        <w:ind w:hanging="284"/>
        <w:rPr>
          <w:sz w:val="20"/>
          <w:szCs w:val="23"/>
        </w:rPr>
      </w:pPr>
      <w:r w:rsidRPr="0002382D">
        <w:rPr>
          <w:sz w:val="20"/>
          <w:szCs w:val="23"/>
        </w:rPr>
        <w:t>Viti M., Mantovani E., Babbucci D. &amp; C. Tamburelli (2009) Generation of Trench-Arc-Back Arc Systems in The Western Mediterranean Region driven by plate convergence Ital.J.Geosci. (Boll.Soc.Geol.It.), Vol. 128, No. 1, pp. 89-106, 9 figs. (DOI :10.3301/IJG.2009.128.1.89).</w:t>
      </w:r>
    </w:p>
    <w:p w:rsidR="007B6DBD" w:rsidRDefault="007B6DBD" w:rsidP="007B6DBD">
      <w:pPr>
        <w:pStyle w:val="Testonormale"/>
        <w:spacing w:line="240" w:lineRule="auto"/>
        <w:ind w:hanging="284"/>
        <w:jc w:val="both"/>
        <w:rPr>
          <w:rFonts w:ascii="Times New Roman" w:hAnsi="Times New Roman" w:cs="Times New Roman"/>
          <w:szCs w:val="23"/>
          <w:lang w:val="en-GB"/>
        </w:rPr>
      </w:pPr>
      <w:r w:rsidRPr="0002382D">
        <w:rPr>
          <w:rFonts w:ascii="Times New Roman" w:hAnsi="Times New Roman" w:cs="Times New Roman"/>
          <w:szCs w:val="23"/>
          <w:lang w:val="en-GB"/>
        </w:rPr>
        <w:t xml:space="preserve">Wilson </w:t>
      </w:r>
      <w:r w:rsidRPr="0002382D">
        <w:rPr>
          <w:rFonts w:ascii="Times New Roman" w:hAnsi="Times New Roman" w:cs="Times New Roman"/>
          <w:color w:val="231F20"/>
          <w:szCs w:val="23"/>
          <w:lang w:val="en-GB"/>
        </w:rPr>
        <w:t>M.</w:t>
      </w:r>
      <w:r w:rsidRPr="0002382D">
        <w:rPr>
          <w:rFonts w:ascii="Times New Roman" w:hAnsi="Times New Roman" w:cs="Times New Roman"/>
          <w:szCs w:val="23"/>
          <w:lang w:val="en-GB"/>
        </w:rPr>
        <w:t xml:space="preserve"> and G. Bianchini (1999), Tertiary-Quaternary magmatism within the </w:t>
      </w:r>
      <w:r w:rsidRPr="0002382D">
        <w:rPr>
          <w:rFonts w:ascii="Times New Roman" w:hAnsi="Times New Roman" w:cs="Times New Roman"/>
          <w:smallCaps/>
          <w:szCs w:val="23"/>
          <w:lang w:val="en-GB"/>
        </w:rPr>
        <w:t>M</w:t>
      </w:r>
      <w:r w:rsidRPr="0002382D">
        <w:rPr>
          <w:rFonts w:ascii="Times New Roman" w:hAnsi="Times New Roman" w:cs="Times New Roman"/>
          <w:szCs w:val="23"/>
          <w:lang w:val="en-GB"/>
        </w:rPr>
        <w:t xml:space="preserve">editerranean and surrounding regions. In: Durand B., Jolivet L., Horvath F. and Seranne M. (eds.), The </w:t>
      </w:r>
      <w:r w:rsidRPr="0002382D">
        <w:rPr>
          <w:rFonts w:ascii="Times New Roman" w:hAnsi="Times New Roman" w:cs="Times New Roman"/>
          <w:smallCaps/>
          <w:szCs w:val="23"/>
          <w:lang w:val="en-GB"/>
        </w:rPr>
        <w:t>M</w:t>
      </w:r>
      <w:r w:rsidRPr="0002382D">
        <w:rPr>
          <w:rFonts w:ascii="Times New Roman" w:hAnsi="Times New Roman" w:cs="Times New Roman"/>
          <w:szCs w:val="23"/>
          <w:lang w:val="en-GB"/>
        </w:rPr>
        <w:t xml:space="preserve">editerranean basins: Tertiary extension within the Alpine orogen, </w:t>
      </w:r>
      <w:r w:rsidRPr="0002382D">
        <w:rPr>
          <w:rFonts w:ascii="Times New Roman" w:hAnsi="Times New Roman" w:cs="Times New Roman"/>
          <w:i/>
          <w:iCs/>
          <w:szCs w:val="23"/>
          <w:lang w:val="en-GB"/>
        </w:rPr>
        <w:t>Geological Society Special Publication,</w:t>
      </w:r>
      <w:r w:rsidRPr="0002382D">
        <w:rPr>
          <w:rFonts w:ascii="Times New Roman" w:hAnsi="Times New Roman" w:cs="Times New Roman"/>
          <w:i/>
          <w:szCs w:val="23"/>
          <w:lang w:val="en-GB"/>
        </w:rPr>
        <w:t xml:space="preserve"> </w:t>
      </w:r>
      <w:r w:rsidRPr="0002382D">
        <w:rPr>
          <w:rFonts w:ascii="Times New Roman" w:hAnsi="Times New Roman" w:cs="Times New Roman"/>
          <w:bCs/>
          <w:i/>
          <w:szCs w:val="23"/>
          <w:lang w:val="en-GB"/>
        </w:rPr>
        <w:t>156</w:t>
      </w:r>
      <w:r w:rsidRPr="0002382D">
        <w:rPr>
          <w:rFonts w:ascii="Times New Roman" w:hAnsi="Times New Roman" w:cs="Times New Roman"/>
          <w:szCs w:val="23"/>
          <w:lang w:val="en-GB"/>
        </w:rPr>
        <w:t>, 141-168.</w:t>
      </w:r>
    </w:p>
    <w:sectPr w:rsidR="007B6DBD" w:rsidSect="00170474">
      <w:pgSz w:w="12240" w:h="18720" w:code="14"/>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14C" w:rsidRPr="00613686" w:rsidRDefault="004C714C" w:rsidP="008B26E7">
      <w:pPr>
        <w:spacing w:line="240" w:lineRule="auto"/>
        <w:rPr>
          <w:sz w:val="23"/>
          <w:szCs w:val="23"/>
        </w:rPr>
      </w:pPr>
      <w:r w:rsidRPr="00613686">
        <w:rPr>
          <w:sz w:val="23"/>
          <w:szCs w:val="23"/>
        </w:rPr>
        <w:separator/>
      </w:r>
    </w:p>
  </w:endnote>
  <w:endnote w:type="continuationSeparator" w:id="0">
    <w:p w:rsidR="004C714C" w:rsidRPr="00613686" w:rsidRDefault="004C714C" w:rsidP="008B26E7">
      <w:pPr>
        <w:spacing w:line="240" w:lineRule="auto"/>
        <w:rPr>
          <w:sz w:val="23"/>
          <w:szCs w:val="23"/>
        </w:rPr>
      </w:pPr>
      <w:r w:rsidRPr="00613686">
        <w:rPr>
          <w:sz w:val="23"/>
          <w:szCs w:val="23"/>
        </w:rP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m1046a">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14C" w:rsidRPr="00613686" w:rsidRDefault="004C714C" w:rsidP="008B26E7">
      <w:pPr>
        <w:spacing w:line="240" w:lineRule="auto"/>
        <w:rPr>
          <w:sz w:val="23"/>
          <w:szCs w:val="23"/>
        </w:rPr>
      </w:pPr>
      <w:r w:rsidRPr="00613686">
        <w:rPr>
          <w:sz w:val="23"/>
          <w:szCs w:val="23"/>
        </w:rPr>
        <w:separator/>
      </w:r>
    </w:p>
  </w:footnote>
  <w:footnote w:type="continuationSeparator" w:id="0">
    <w:p w:rsidR="004C714C" w:rsidRPr="00613686" w:rsidRDefault="004C714C" w:rsidP="008B26E7">
      <w:pPr>
        <w:spacing w:line="240" w:lineRule="auto"/>
        <w:rPr>
          <w:sz w:val="23"/>
          <w:szCs w:val="23"/>
        </w:rPr>
      </w:pPr>
      <w:r w:rsidRPr="00613686">
        <w:rPr>
          <w:sz w:val="23"/>
          <w:szCs w:val="23"/>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o"/>
      <w:lvlJc w:val="left"/>
      <w:pPr>
        <w:tabs>
          <w:tab w:val="num" w:pos="720"/>
        </w:tabs>
        <w:ind w:left="720" w:hanging="360"/>
      </w:pPr>
      <w:rPr>
        <w:rFonts w:ascii="Courier New" w:hAnsi="Courier New"/>
        <w:sz w:val="20"/>
      </w:rPr>
    </w:lvl>
  </w:abstractNum>
  <w:abstractNum w:abstractNumId="1">
    <w:nsid w:val="00000002"/>
    <w:multiLevelType w:val="multilevel"/>
    <w:tmpl w:val="00000002"/>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1124D7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13E43DC"/>
    <w:multiLevelType w:val="hybridMultilevel"/>
    <w:tmpl w:val="2B1638EE"/>
    <w:lvl w:ilvl="0" w:tplc="A6CC5B5C">
      <w:numFmt w:val="bullet"/>
      <w:lvlText w:val="-"/>
      <w:lvlJc w:val="left"/>
      <w:pPr>
        <w:ind w:left="510" w:hanging="360"/>
      </w:pPr>
      <w:rPr>
        <w:rFonts w:ascii="Times New Roman" w:eastAsia="Times New Roman" w:hAnsi="Times New Roman" w:hint="default"/>
      </w:rPr>
    </w:lvl>
    <w:lvl w:ilvl="1" w:tplc="08090003" w:tentative="1">
      <w:start w:val="1"/>
      <w:numFmt w:val="bullet"/>
      <w:lvlText w:val="o"/>
      <w:lvlJc w:val="left"/>
      <w:pPr>
        <w:ind w:left="1230" w:hanging="360"/>
      </w:pPr>
      <w:rPr>
        <w:rFonts w:ascii="Courier New" w:hAnsi="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4">
    <w:nsid w:val="015D78CC"/>
    <w:multiLevelType w:val="hybridMultilevel"/>
    <w:tmpl w:val="DF2E9FBC"/>
    <w:lvl w:ilvl="0" w:tplc="D17C2BF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084C092F"/>
    <w:multiLevelType w:val="multilevel"/>
    <w:tmpl w:val="E44AAD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1523964"/>
    <w:multiLevelType w:val="hybridMultilevel"/>
    <w:tmpl w:val="8C58ABC0"/>
    <w:lvl w:ilvl="0" w:tplc="B28E7E94">
      <w:start w:val="5"/>
      <w:numFmt w:val="bullet"/>
      <w:lvlText w:val="-"/>
      <w:lvlJc w:val="left"/>
      <w:pPr>
        <w:ind w:left="720" w:hanging="360"/>
      </w:pPr>
      <w:rPr>
        <w:rFonts w:ascii="Times New Roman" w:eastAsia="Advm1046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F23905"/>
    <w:multiLevelType w:val="hybridMultilevel"/>
    <w:tmpl w:val="585C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935800"/>
    <w:multiLevelType w:val="hybridMultilevel"/>
    <w:tmpl w:val="43F8D936"/>
    <w:lvl w:ilvl="0" w:tplc="97089FF0">
      <w:start w:val="28"/>
      <w:numFmt w:val="bullet"/>
      <w:lvlText w:val="-"/>
      <w:lvlJc w:val="left"/>
      <w:pPr>
        <w:ind w:left="510" w:hanging="360"/>
      </w:pPr>
      <w:rPr>
        <w:rFonts w:ascii="Times New Roman" w:eastAsia="Times New Roman" w:hAnsi="Times New Roman" w:hint="default"/>
      </w:rPr>
    </w:lvl>
    <w:lvl w:ilvl="1" w:tplc="08090003" w:tentative="1">
      <w:start w:val="1"/>
      <w:numFmt w:val="bullet"/>
      <w:lvlText w:val="o"/>
      <w:lvlJc w:val="left"/>
      <w:pPr>
        <w:ind w:left="1230" w:hanging="360"/>
      </w:pPr>
      <w:rPr>
        <w:rFonts w:ascii="Courier New" w:hAnsi="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9">
    <w:nsid w:val="1DF44BF1"/>
    <w:multiLevelType w:val="multilevel"/>
    <w:tmpl w:val="5B621F4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F53A2F"/>
    <w:multiLevelType w:val="hybridMultilevel"/>
    <w:tmpl w:val="E166805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3AC54B56"/>
    <w:multiLevelType w:val="hybridMultilevel"/>
    <w:tmpl w:val="E3D889E4"/>
    <w:lvl w:ilvl="0" w:tplc="0410000F">
      <w:start w:val="1"/>
      <w:numFmt w:val="decimal"/>
      <w:lvlText w:val="%1."/>
      <w:lvlJc w:val="left"/>
      <w:pPr>
        <w:ind w:left="845" w:hanging="360"/>
      </w:p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2">
    <w:nsid w:val="3B0D2D8B"/>
    <w:multiLevelType w:val="hybridMultilevel"/>
    <w:tmpl w:val="2E585A62"/>
    <w:lvl w:ilvl="0" w:tplc="E6A60A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0CF7CE1"/>
    <w:multiLevelType w:val="hybridMultilevel"/>
    <w:tmpl w:val="3FB6B0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18B3FB7"/>
    <w:multiLevelType w:val="hybridMultilevel"/>
    <w:tmpl w:val="29087A58"/>
    <w:lvl w:ilvl="0" w:tplc="93CEC8E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40A69E8"/>
    <w:multiLevelType w:val="hybridMultilevel"/>
    <w:tmpl w:val="A4EC6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70C5332"/>
    <w:multiLevelType w:val="hybridMultilevel"/>
    <w:tmpl w:val="FCDAD9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80D6AF8"/>
    <w:multiLevelType w:val="multilevel"/>
    <w:tmpl w:val="6954445E"/>
    <w:lvl w:ilvl="0">
      <w:start w:val="1"/>
      <w:numFmt w:val="decimal"/>
      <w:lvlText w:val="%1"/>
      <w:lvlJc w:val="left"/>
      <w:pPr>
        <w:ind w:left="360" w:hanging="360"/>
      </w:pPr>
      <w:rPr>
        <w:rFonts w:ascii="Times New Roman" w:eastAsia="Advm1046a"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53664663"/>
    <w:multiLevelType w:val="hybridMultilevel"/>
    <w:tmpl w:val="2B4C6E68"/>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nsid w:val="5C612CCD"/>
    <w:multiLevelType w:val="multilevel"/>
    <w:tmpl w:val="E9DC20E4"/>
    <w:lvl w:ilvl="0">
      <w:start w:val="7"/>
      <w:numFmt w:val="decimal"/>
      <w:lvlText w:val="%1."/>
      <w:lvlJc w:val="left"/>
      <w:pPr>
        <w:ind w:left="360" w:hanging="360"/>
      </w:pPr>
      <w:rPr>
        <w:rFonts w:hint="default"/>
      </w:rPr>
    </w:lvl>
    <w:lvl w:ilvl="1">
      <w:start w:val="1"/>
      <w:numFmt w:val="decimal"/>
      <w:lvlText w:val="%1.%2."/>
      <w:lvlJc w:val="left"/>
      <w:pPr>
        <w:ind w:left="1205" w:hanging="360"/>
      </w:pPr>
      <w:rPr>
        <w:rFonts w:hint="default"/>
      </w:rPr>
    </w:lvl>
    <w:lvl w:ilvl="2">
      <w:start w:val="1"/>
      <w:numFmt w:val="decimal"/>
      <w:lvlText w:val="%1.%2.%3."/>
      <w:lvlJc w:val="left"/>
      <w:pPr>
        <w:ind w:left="2410" w:hanging="720"/>
      </w:pPr>
      <w:rPr>
        <w:rFonts w:hint="default"/>
      </w:rPr>
    </w:lvl>
    <w:lvl w:ilvl="3">
      <w:start w:val="1"/>
      <w:numFmt w:val="lowerLetter"/>
      <w:lvlText w:val="%1.%2.%3.%4."/>
      <w:lvlJc w:val="left"/>
      <w:pPr>
        <w:ind w:left="3255" w:hanging="720"/>
      </w:pPr>
      <w:rPr>
        <w:rFonts w:hint="default"/>
      </w:rPr>
    </w:lvl>
    <w:lvl w:ilvl="4">
      <w:start w:val="1"/>
      <w:numFmt w:val="decimal"/>
      <w:lvlText w:val="%1.%2.%3.%4.%5."/>
      <w:lvlJc w:val="left"/>
      <w:pPr>
        <w:ind w:left="4460" w:hanging="1080"/>
      </w:pPr>
      <w:rPr>
        <w:rFonts w:hint="default"/>
      </w:rPr>
    </w:lvl>
    <w:lvl w:ilvl="5">
      <w:start w:val="1"/>
      <w:numFmt w:val="decimal"/>
      <w:lvlText w:val="%1.%2.%3.%4.%5.%6."/>
      <w:lvlJc w:val="left"/>
      <w:pPr>
        <w:ind w:left="5305" w:hanging="1080"/>
      </w:pPr>
      <w:rPr>
        <w:rFonts w:hint="default"/>
      </w:rPr>
    </w:lvl>
    <w:lvl w:ilvl="6">
      <w:start w:val="1"/>
      <w:numFmt w:val="decimal"/>
      <w:lvlText w:val="%1.%2.%3.%4.%5.%6.%7."/>
      <w:lvlJc w:val="left"/>
      <w:pPr>
        <w:ind w:left="6510" w:hanging="1440"/>
      </w:pPr>
      <w:rPr>
        <w:rFonts w:hint="default"/>
      </w:rPr>
    </w:lvl>
    <w:lvl w:ilvl="7">
      <w:start w:val="1"/>
      <w:numFmt w:val="decimal"/>
      <w:lvlText w:val="%1.%2.%3.%4.%5.%6.%7.%8."/>
      <w:lvlJc w:val="left"/>
      <w:pPr>
        <w:ind w:left="7355" w:hanging="1440"/>
      </w:pPr>
      <w:rPr>
        <w:rFonts w:hint="default"/>
      </w:rPr>
    </w:lvl>
    <w:lvl w:ilvl="8">
      <w:start w:val="1"/>
      <w:numFmt w:val="decimal"/>
      <w:lvlText w:val="%1.%2.%3.%4.%5.%6.%7.%8.%9."/>
      <w:lvlJc w:val="left"/>
      <w:pPr>
        <w:ind w:left="8560" w:hanging="1800"/>
      </w:pPr>
      <w:rPr>
        <w:rFonts w:hint="default"/>
      </w:rPr>
    </w:lvl>
  </w:abstractNum>
  <w:abstractNum w:abstractNumId="20">
    <w:nsid w:val="61484090"/>
    <w:multiLevelType w:val="hybridMultilevel"/>
    <w:tmpl w:val="6B02A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A7849BF"/>
    <w:multiLevelType w:val="multilevel"/>
    <w:tmpl w:val="24C60318"/>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u w:val="single"/>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nsid w:val="71F048EC"/>
    <w:multiLevelType w:val="hybridMultilevel"/>
    <w:tmpl w:val="E5C0BAF6"/>
    <w:lvl w:ilvl="0" w:tplc="5B3C74B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874CDD"/>
    <w:multiLevelType w:val="hybridMultilevel"/>
    <w:tmpl w:val="119CFE12"/>
    <w:lvl w:ilvl="0" w:tplc="0410000F">
      <w:start w:val="1"/>
      <w:numFmt w:val="decimal"/>
      <w:lvlText w:val="%1."/>
      <w:lvlJc w:val="left"/>
      <w:pPr>
        <w:ind w:left="1440" w:hanging="360"/>
      </w:pPr>
      <w:rPr>
        <w:rFonts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
    <w:nsid w:val="7BBB0C8C"/>
    <w:multiLevelType w:val="hybridMultilevel"/>
    <w:tmpl w:val="2B188596"/>
    <w:lvl w:ilvl="0" w:tplc="92EC0B34">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3"/>
  </w:num>
  <w:num w:numId="2">
    <w:abstractNumId w:val="13"/>
  </w:num>
  <w:num w:numId="3">
    <w:abstractNumId w:val="16"/>
  </w:num>
  <w:num w:numId="4">
    <w:abstractNumId w:val="18"/>
  </w:num>
  <w:num w:numId="5">
    <w:abstractNumId w:val="2"/>
  </w:num>
  <w:num w:numId="6">
    <w:abstractNumId w:val="24"/>
  </w:num>
  <w:num w:numId="7">
    <w:abstractNumId w:val="10"/>
  </w:num>
  <w:num w:numId="8">
    <w:abstractNumId w:val="17"/>
  </w:num>
  <w:num w:numId="9">
    <w:abstractNumId w:val="9"/>
  </w:num>
  <w:num w:numId="10">
    <w:abstractNumId w:val="11"/>
  </w:num>
  <w:num w:numId="11">
    <w:abstractNumId w:val="19"/>
  </w:num>
  <w:num w:numId="12">
    <w:abstractNumId w:val="21"/>
  </w:num>
  <w:num w:numId="13">
    <w:abstractNumId w:val="0"/>
  </w:num>
  <w:num w:numId="14">
    <w:abstractNumId w:val="1"/>
  </w:num>
  <w:num w:numId="15">
    <w:abstractNumId w:val="3"/>
  </w:num>
  <w:num w:numId="16">
    <w:abstractNumId w:val="8"/>
  </w:num>
  <w:num w:numId="17">
    <w:abstractNumId w:val="7"/>
  </w:num>
  <w:num w:numId="18">
    <w:abstractNumId w:val="4"/>
  </w:num>
  <w:num w:numId="19">
    <w:abstractNumId w:val="22"/>
  </w:num>
  <w:num w:numId="20">
    <w:abstractNumId w:val="14"/>
  </w:num>
  <w:num w:numId="21">
    <w:abstractNumId w:val="20"/>
  </w:num>
  <w:num w:numId="22">
    <w:abstractNumId w:val="5"/>
  </w:num>
  <w:num w:numId="23">
    <w:abstractNumId w:val="15"/>
  </w:num>
  <w:num w:numId="24">
    <w:abstractNumId w:val="6"/>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CC1D2A"/>
    <w:rsid w:val="0000054E"/>
    <w:rsid w:val="00000797"/>
    <w:rsid w:val="00000D5D"/>
    <w:rsid w:val="00002A23"/>
    <w:rsid w:val="0000301B"/>
    <w:rsid w:val="00003A28"/>
    <w:rsid w:val="00003C6C"/>
    <w:rsid w:val="00003D43"/>
    <w:rsid w:val="00004CF1"/>
    <w:rsid w:val="00004CF5"/>
    <w:rsid w:val="00004F99"/>
    <w:rsid w:val="0000528D"/>
    <w:rsid w:val="00005C98"/>
    <w:rsid w:val="0000668F"/>
    <w:rsid w:val="000070D4"/>
    <w:rsid w:val="00007E1B"/>
    <w:rsid w:val="00010074"/>
    <w:rsid w:val="00010DC4"/>
    <w:rsid w:val="00013269"/>
    <w:rsid w:val="00013A66"/>
    <w:rsid w:val="000141ED"/>
    <w:rsid w:val="00016402"/>
    <w:rsid w:val="00016AC4"/>
    <w:rsid w:val="00016DB8"/>
    <w:rsid w:val="00017087"/>
    <w:rsid w:val="000171DB"/>
    <w:rsid w:val="000178A4"/>
    <w:rsid w:val="00022329"/>
    <w:rsid w:val="00022D49"/>
    <w:rsid w:val="00022FA5"/>
    <w:rsid w:val="00023046"/>
    <w:rsid w:val="000236AC"/>
    <w:rsid w:val="00024DF1"/>
    <w:rsid w:val="00025D07"/>
    <w:rsid w:val="0002621F"/>
    <w:rsid w:val="00026528"/>
    <w:rsid w:val="00027235"/>
    <w:rsid w:val="00030B91"/>
    <w:rsid w:val="00031A98"/>
    <w:rsid w:val="000332F0"/>
    <w:rsid w:val="00034294"/>
    <w:rsid w:val="000343F3"/>
    <w:rsid w:val="00034C51"/>
    <w:rsid w:val="00037219"/>
    <w:rsid w:val="0003743C"/>
    <w:rsid w:val="00037893"/>
    <w:rsid w:val="00040507"/>
    <w:rsid w:val="000424F6"/>
    <w:rsid w:val="000425E6"/>
    <w:rsid w:val="0004314F"/>
    <w:rsid w:val="000477DE"/>
    <w:rsid w:val="00050FBC"/>
    <w:rsid w:val="00051A3F"/>
    <w:rsid w:val="000529BF"/>
    <w:rsid w:val="00053342"/>
    <w:rsid w:val="000539F1"/>
    <w:rsid w:val="00054792"/>
    <w:rsid w:val="0005532B"/>
    <w:rsid w:val="00055AF1"/>
    <w:rsid w:val="00055FE7"/>
    <w:rsid w:val="00056049"/>
    <w:rsid w:val="00057158"/>
    <w:rsid w:val="00061726"/>
    <w:rsid w:val="00061B08"/>
    <w:rsid w:val="00061F2A"/>
    <w:rsid w:val="00062046"/>
    <w:rsid w:val="000621CD"/>
    <w:rsid w:val="00062E80"/>
    <w:rsid w:val="0006605D"/>
    <w:rsid w:val="000670EB"/>
    <w:rsid w:val="000673A7"/>
    <w:rsid w:val="0007036D"/>
    <w:rsid w:val="00070F84"/>
    <w:rsid w:val="00071CF8"/>
    <w:rsid w:val="000726F2"/>
    <w:rsid w:val="0007420B"/>
    <w:rsid w:val="000748BE"/>
    <w:rsid w:val="0007495F"/>
    <w:rsid w:val="000750DA"/>
    <w:rsid w:val="00080B4C"/>
    <w:rsid w:val="00080BBC"/>
    <w:rsid w:val="000812AF"/>
    <w:rsid w:val="00081962"/>
    <w:rsid w:val="00082A94"/>
    <w:rsid w:val="000832B4"/>
    <w:rsid w:val="000847AC"/>
    <w:rsid w:val="00085E7E"/>
    <w:rsid w:val="00085F42"/>
    <w:rsid w:val="00087984"/>
    <w:rsid w:val="00087CAC"/>
    <w:rsid w:val="00091219"/>
    <w:rsid w:val="00091247"/>
    <w:rsid w:val="00093439"/>
    <w:rsid w:val="0009359B"/>
    <w:rsid w:val="000937F4"/>
    <w:rsid w:val="00094F31"/>
    <w:rsid w:val="00095226"/>
    <w:rsid w:val="00096C38"/>
    <w:rsid w:val="000A0336"/>
    <w:rsid w:val="000A08AC"/>
    <w:rsid w:val="000A13F7"/>
    <w:rsid w:val="000A158C"/>
    <w:rsid w:val="000A36BB"/>
    <w:rsid w:val="000A3F23"/>
    <w:rsid w:val="000A4761"/>
    <w:rsid w:val="000A4DB8"/>
    <w:rsid w:val="000A5FB2"/>
    <w:rsid w:val="000A677E"/>
    <w:rsid w:val="000B0043"/>
    <w:rsid w:val="000B038A"/>
    <w:rsid w:val="000B08C1"/>
    <w:rsid w:val="000B112C"/>
    <w:rsid w:val="000B157B"/>
    <w:rsid w:val="000B1C64"/>
    <w:rsid w:val="000B4069"/>
    <w:rsid w:val="000B406E"/>
    <w:rsid w:val="000B5E0F"/>
    <w:rsid w:val="000B639E"/>
    <w:rsid w:val="000B6B06"/>
    <w:rsid w:val="000B6F29"/>
    <w:rsid w:val="000B76ED"/>
    <w:rsid w:val="000B7DE2"/>
    <w:rsid w:val="000C1C08"/>
    <w:rsid w:val="000C295E"/>
    <w:rsid w:val="000C2B89"/>
    <w:rsid w:val="000C397B"/>
    <w:rsid w:val="000C420C"/>
    <w:rsid w:val="000C4D12"/>
    <w:rsid w:val="000C5E21"/>
    <w:rsid w:val="000C665B"/>
    <w:rsid w:val="000C7300"/>
    <w:rsid w:val="000D1D1E"/>
    <w:rsid w:val="000D22EF"/>
    <w:rsid w:val="000D4243"/>
    <w:rsid w:val="000D5C56"/>
    <w:rsid w:val="000D5CD6"/>
    <w:rsid w:val="000D6CAA"/>
    <w:rsid w:val="000D6EE6"/>
    <w:rsid w:val="000E1037"/>
    <w:rsid w:val="000E16FB"/>
    <w:rsid w:val="000E186F"/>
    <w:rsid w:val="000E29AA"/>
    <w:rsid w:val="000E38F5"/>
    <w:rsid w:val="000E3A52"/>
    <w:rsid w:val="000E44F9"/>
    <w:rsid w:val="000E5422"/>
    <w:rsid w:val="000E559E"/>
    <w:rsid w:val="000E60DC"/>
    <w:rsid w:val="000F1D0D"/>
    <w:rsid w:val="000F1E78"/>
    <w:rsid w:val="000F23BC"/>
    <w:rsid w:val="000F363C"/>
    <w:rsid w:val="000F4BC2"/>
    <w:rsid w:val="000F669E"/>
    <w:rsid w:val="000F672C"/>
    <w:rsid w:val="000F6D36"/>
    <w:rsid w:val="000F6F08"/>
    <w:rsid w:val="00100371"/>
    <w:rsid w:val="00100B62"/>
    <w:rsid w:val="00101883"/>
    <w:rsid w:val="00101CD9"/>
    <w:rsid w:val="0010296C"/>
    <w:rsid w:val="00102D06"/>
    <w:rsid w:val="00104CF3"/>
    <w:rsid w:val="00105EFB"/>
    <w:rsid w:val="00106233"/>
    <w:rsid w:val="00106391"/>
    <w:rsid w:val="00107A8F"/>
    <w:rsid w:val="00107D9A"/>
    <w:rsid w:val="00107DFB"/>
    <w:rsid w:val="001112EA"/>
    <w:rsid w:val="0011187E"/>
    <w:rsid w:val="00112965"/>
    <w:rsid w:val="001135B9"/>
    <w:rsid w:val="00113CF6"/>
    <w:rsid w:val="00114388"/>
    <w:rsid w:val="00114A0F"/>
    <w:rsid w:val="00116466"/>
    <w:rsid w:val="00116A80"/>
    <w:rsid w:val="00116F37"/>
    <w:rsid w:val="00117F26"/>
    <w:rsid w:val="0012005A"/>
    <w:rsid w:val="00121852"/>
    <w:rsid w:val="00121ECA"/>
    <w:rsid w:val="00124665"/>
    <w:rsid w:val="00124BBF"/>
    <w:rsid w:val="00124BE2"/>
    <w:rsid w:val="00126850"/>
    <w:rsid w:val="001271A0"/>
    <w:rsid w:val="00127CAB"/>
    <w:rsid w:val="0013152A"/>
    <w:rsid w:val="00132740"/>
    <w:rsid w:val="00132CF5"/>
    <w:rsid w:val="00133488"/>
    <w:rsid w:val="00135CB0"/>
    <w:rsid w:val="001366D7"/>
    <w:rsid w:val="00136BBB"/>
    <w:rsid w:val="00140581"/>
    <w:rsid w:val="001406A8"/>
    <w:rsid w:val="001420BA"/>
    <w:rsid w:val="00142BD5"/>
    <w:rsid w:val="00142BEE"/>
    <w:rsid w:val="00144B45"/>
    <w:rsid w:val="00145593"/>
    <w:rsid w:val="0014590E"/>
    <w:rsid w:val="00145B01"/>
    <w:rsid w:val="00146F64"/>
    <w:rsid w:val="001518FD"/>
    <w:rsid w:val="00153858"/>
    <w:rsid w:val="00153A99"/>
    <w:rsid w:val="00153FFB"/>
    <w:rsid w:val="00154A4F"/>
    <w:rsid w:val="001559C6"/>
    <w:rsid w:val="00156428"/>
    <w:rsid w:val="00157208"/>
    <w:rsid w:val="0016019E"/>
    <w:rsid w:val="001608BE"/>
    <w:rsid w:val="0016100C"/>
    <w:rsid w:val="00161531"/>
    <w:rsid w:val="00161B7C"/>
    <w:rsid w:val="00162568"/>
    <w:rsid w:val="00162D0D"/>
    <w:rsid w:val="00163FA5"/>
    <w:rsid w:val="00164469"/>
    <w:rsid w:val="00164A92"/>
    <w:rsid w:val="0016652D"/>
    <w:rsid w:val="00167380"/>
    <w:rsid w:val="00167947"/>
    <w:rsid w:val="00167F7B"/>
    <w:rsid w:val="00170474"/>
    <w:rsid w:val="00171C26"/>
    <w:rsid w:val="0017248E"/>
    <w:rsid w:val="001728CA"/>
    <w:rsid w:val="001737DA"/>
    <w:rsid w:val="00174AEC"/>
    <w:rsid w:val="00174CB3"/>
    <w:rsid w:val="00174CC5"/>
    <w:rsid w:val="00175A9C"/>
    <w:rsid w:val="0017727B"/>
    <w:rsid w:val="0018246A"/>
    <w:rsid w:val="00182EF0"/>
    <w:rsid w:val="0018334E"/>
    <w:rsid w:val="00183373"/>
    <w:rsid w:val="00184106"/>
    <w:rsid w:val="00184B1F"/>
    <w:rsid w:val="00184D53"/>
    <w:rsid w:val="0018519B"/>
    <w:rsid w:val="00185429"/>
    <w:rsid w:val="001866D3"/>
    <w:rsid w:val="001902A9"/>
    <w:rsid w:val="00190D73"/>
    <w:rsid w:val="001911F2"/>
    <w:rsid w:val="00191449"/>
    <w:rsid w:val="0019214E"/>
    <w:rsid w:val="001923B4"/>
    <w:rsid w:val="001937ED"/>
    <w:rsid w:val="00195623"/>
    <w:rsid w:val="00195721"/>
    <w:rsid w:val="00195871"/>
    <w:rsid w:val="00195D79"/>
    <w:rsid w:val="00196D9F"/>
    <w:rsid w:val="00197172"/>
    <w:rsid w:val="001976DC"/>
    <w:rsid w:val="00197E2B"/>
    <w:rsid w:val="001A01BA"/>
    <w:rsid w:val="001A13B1"/>
    <w:rsid w:val="001A16A8"/>
    <w:rsid w:val="001A21A0"/>
    <w:rsid w:val="001A26CC"/>
    <w:rsid w:val="001A2E00"/>
    <w:rsid w:val="001A3922"/>
    <w:rsid w:val="001A3FC2"/>
    <w:rsid w:val="001A495C"/>
    <w:rsid w:val="001A5173"/>
    <w:rsid w:val="001A6088"/>
    <w:rsid w:val="001A60EB"/>
    <w:rsid w:val="001A6C7F"/>
    <w:rsid w:val="001A7507"/>
    <w:rsid w:val="001A7FAB"/>
    <w:rsid w:val="001B0784"/>
    <w:rsid w:val="001B2EAE"/>
    <w:rsid w:val="001B394D"/>
    <w:rsid w:val="001B3E33"/>
    <w:rsid w:val="001B52F8"/>
    <w:rsid w:val="001B56F1"/>
    <w:rsid w:val="001B5AB0"/>
    <w:rsid w:val="001B6108"/>
    <w:rsid w:val="001B79A4"/>
    <w:rsid w:val="001C153E"/>
    <w:rsid w:val="001C2FC9"/>
    <w:rsid w:val="001C392F"/>
    <w:rsid w:val="001C42B8"/>
    <w:rsid w:val="001C4AAD"/>
    <w:rsid w:val="001C52DF"/>
    <w:rsid w:val="001C548F"/>
    <w:rsid w:val="001C5D84"/>
    <w:rsid w:val="001D10E9"/>
    <w:rsid w:val="001D12A0"/>
    <w:rsid w:val="001D1693"/>
    <w:rsid w:val="001D1946"/>
    <w:rsid w:val="001D1E92"/>
    <w:rsid w:val="001D233D"/>
    <w:rsid w:val="001D274B"/>
    <w:rsid w:val="001D359B"/>
    <w:rsid w:val="001D362E"/>
    <w:rsid w:val="001D41A1"/>
    <w:rsid w:val="001D5A3A"/>
    <w:rsid w:val="001D5ABD"/>
    <w:rsid w:val="001D61CB"/>
    <w:rsid w:val="001D6824"/>
    <w:rsid w:val="001D73D6"/>
    <w:rsid w:val="001D7605"/>
    <w:rsid w:val="001E0FC1"/>
    <w:rsid w:val="001E2B5E"/>
    <w:rsid w:val="001E3051"/>
    <w:rsid w:val="001E3CB6"/>
    <w:rsid w:val="001E407F"/>
    <w:rsid w:val="001E4333"/>
    <w:rsid w:val="001E45CC"/>
    <w:rsid w:val="001E4805"/>
    <w:rsid w:val="001E56FF"/>
    <w:rsid w:val="001E6D19"/>
    <w:rsid w:val="001E74D6"/>
    <w:rsid w:val="001E7583"/>
    <w:rsid w:val="001E7BFA"/>
    <w:rsid w:val="001F0C90"/>
    <w:rsid w:val="001F28C4"/>
    <w:rsid w:val="001F3190"/>
    <w:rsid w:val="001F38E2"/>
    <w:rsid w:val="001F3B11"/>
    <w:rsid w:val="001F4235"/>
    <w:rsid w:val="001F4EE9"/>
    <w:rsid w:val="001F582A"/>
    <w:rsid w:val="001F60C9"/>
    <w:rsid w:val="001F6D93"/>
    <w:rsid w:val="0020009C"/>
    <w:rsid w:val="00201223"/>
    <w:rsid w:val="00201AC8"/>
    <w:rsid w:val="002022EA"/>
    <w:rsid w:val="002041B9"/>
    <w:rsid w:val="00205DAE"/>
    <w:rsid w:val="00206AB4"/>
    <w:rsid w:val="0020740D"/>
    <w:rsid w:val="00207847"/>
    <w:rsid w:val="00210331"/>
    <w:rsid w:val="00213006"/>
    <w:rsid w:val="0021406F"/>
    <w:rsid w:val="0021453A"/>
    <w:rsid w:val="00216103"/>
    <w:rsid w:val="00216F4C"/>
    <w:rsid w:val="00217547"/>
    <w:rsid w:val="00217B34"/>
    <w:rsid w:val="0022235B"/>
    <w:rsid w:val="002229F3"/>
    <w:rsid w:val="00222A8B"/>
    <w:rsid w:val="002236D7"/>
    <w:rsid w:val="00224B3C"/>
    <w:rsid w:val="00224F5B"/>
    <w:rsid w:val="00230D47"/>
    <w:rsid w:val="00231331"/>
    <w:rsid w:val="00232314"/>
    <w:rsid w:val="002325CB"/>
    <w:rsid w:val="00232EFA"/>
    <w:rsid w:val="00233708"/>
    <w:rsid w:val="002344A2"/>
    <w:rsid w:val="00234C6E"/>
    <w:rsid w:val="0023527F"/>
    <w:rsid w:val="002356AC"/>
    <w:rsid w:val="00237202"/>
    <w:rsid w:val="00240737"/>
    <w:rsid w:val="002425AF"/>
    <w:rsid w:val="00243254"/>
    <w:rsid w:val="002432BE"/>
    <w:rsid w:val="00243324"/>
    <w:rsid w:val="00243830"/>
    <w:rsid w:val="00244201"/>
    <w:rsid w:val="00244470"/>
    <w:rsid w:val="0024471B"/>
    <w:rsid w:val="00244C26"/>
    <w:rsid w:val="0024559B"/>
    <w:rsid w:val="002478DC"/>
    <w:rsid w:val="00247943"/>
    <w:rsid w:val="00251135"/>
    <w:rsid w:val="00251609"/>
    <w:rsid w:val="00251E2D"/>
    <w:rsid w:val="00251EB0"/>
    <w:rsid w:val="00251FFC"/>
    <w:rsid w:val="00253B3B"/>
    <w:rsid w:val="0025400D"/>
    <w:rsid w:val="002541BA"/>
    <w:rsid w:val="00255116"/>
    <w:rsid w:val="0025545A"/>
    <w:rsid w:val="00256168"/>
    <w:rsid w:val="00256805"/>
    <w:rsid w:val="00256D39"/>
    <w:rsid w:val="00256D64"/>
    <w:rsid w:val="0025735C"/>
    <w:rsid w:val="00257A70"/>
    <w:rsid w:val="00260246"/>
    <w:rsid w:val="002614BF"/>
    <w:rsid w:val="00261B61"/>
    <w:rsid w:val="002626B5"/>
    <w:rsid w:val="00262C32"/>
    <w:rsid w:val="0026324F"/>
    <w:rsid w:val="002644A9"/>
    <w:rsid w:val="00264BEB"/>
    <w:rsid w:val="00264D83"/>
    <w:rsid w:val="00265740"/>
    <w:rsid w:val="00266182"/>
    <w:rsid w:val="00267090"/>
    <w:rsid w:val="00267209"/>
    <w:rsid w:val="00270F6B"/>
    <w:rsid w:val="002711E3"/>
    <w:rsid w:val="002712C0"/>
    <w:rsid w:val="00272B8F"/>
    <w:rsid w:val="002731F4"/>
    <w:rsid w:val="002743D0"/>
    <w:rsid w:val="00274EB4"/>
    <w:rsid w:val="002750BB"/>
    <w:rsid w:val="00275919"/>
    <w:rsid w:val="00276088"/>
    <w:rsid w:val="00276796"/>
    <w:rsid w:val="00276C70"/>
    <w:rsid w:val="00277D62"/>
    <w:rsid w:val="00281530"/>
    <w:rsid w:val="0028153D"/>
    <w:rsid w:val="002819A1"/>
    <w:rsid w:val="00281C15"/>
    <w:rsid w:val="00282A70"/>
    <w:rsid w:val="0028576E"/>
    <w:rsid w:val="00286146"/>
    <w:rsid w:val="00286250"/>
    <w:rsid w:val="00286338"/>
    <w:rsid w:val="0029249F"/>
    <w:rsid w:val="0029304B"/>
    <w:rsid w:val="00293F85"/>
    <w:rsid w:val="002943EF"/>
    <w:rsid w:val="002955FF"/>
    <w:rsid w:val="00296C3E"/>
    <w:rsid w:val="00297121"/>
    <w:rsid w:val="00297991"/>
    <w:rsid w:val="002A119F"/>
    <w:rsid w:val="002A2374"/>
    <w:rsid w:val="002A2F22"/>
    <w:rsid w:val="002A3413"/>
    <w:rsid w:val="002A39A7"/>
    <w:rsid w:val="002A434F"/>
    <w:rsid w:val="002A4359"/>
    <w:rsid w:val="002A4EFC"/>
    <w:rsid w:val="002A5527"/>
    <w:rsid w:val="002A5DCF"/>
    <w:rsid w:val="002B0133"/>
    <w:rsid w:val="002B0752"/>
    <w:rsid w:val="002B12CD"/>
    <w:rsid w:val="002B21A4"/>
    <w:rsid w:val="002B2337"/>
    <w:rsid w:val="002B361D"/>
    <w:rsid w:val="002B380F"/>
    <w:rsid w:val="002B3880"/>
    <w:rsid w:val="002B3F9F"/>
    <w:rsid w:val="002B3FB0"/>
    <w:rsid w:val="002B4A2F"/>
    <w:rsid w:val="002B4C74"/>
    <w:rsid w:val="002B6E43"/>
    <w:rsid w:val="002B7030"/>
    <w:rsid w:val="002B7911"/>
    <w:rsid w:val="002C130C"/>
    <w:rsid w:val="002C16B8"/>
    <w:rsid w:val="002C1C51"/>
    <w:rsid w:val="002C3D92"/>
    <w:rsid w:val="002C44AD"/>
    <w:rsid w:val="002C5BEC"/>
    <w:rsid w:val="002C5CE1"/>
    <w:rsid w:val="002C6C47"/>
    <w:rsid w:val="002C769E"/>
    <w:rsid w:val="002D06AB"/>
    <w:rsid w:val="002D0EB7"/>
    <w:rsid w:val="002D0F6C"/>
    <w:rsid w:val="002D173B"/>
    <w:rsid w:val="002D1D9E"/>
    <w:rsid w:val="002D226E"/>
    <w:rsid w:val="002D29F6"/>
    <w:rsid w:val="002D4E6E"/>
    <w:rsid w:val="002D6D54"/>
    <w:rsid w:val="002E0F60"/>
    <w:rsid w:val="002E0FBA"/>
    <w:rsid w:val="002E1F45"/>
    <w:rsid w:val="002E2A53"/>
    <w:rsid w:val="002E2E59"/>
    <w:rsid w:val="002E4B69"/>
    <w:rsid w:val="002E4F0B"/>
    <w:rsid w:val="002E5621"/>
    <w:rsid w:val="002E591E"/>
    <w:rsid w:val="002E6433"/>
    <w:rsid w:val="002E6769"/>
    <w:rsid w:val="002E70A1"/>
    <w:rsid w:val="002E7BC0"/>
    <w:rsid w:val="002E7DD3"/>
    <w:rsid w:val="002F0D9A"/>
    <w:rsid w:val="002F0FB0"/>
    <w:rsid w:val="002F3F54"/>
    <w:rsid w:val="002F40AC"/>
    <w:rsid w:val="002F4A1F"/>
    <w:rsid w:val="002F5407"/>
    <w:rsid w:val="002F6251"/>
    <w:rsid w:val="002F6BD9"/>
    <w:rsid w:val="002F70D1"/>
    <w:rsid w:val="002F721E"/>
    <w:rsid w:val="002F7D3E"/>
    <w:rsid w:val="00300620"/>
    <w:rsid w:val="00300636"/>
    <w:rsid w:val="00301BE1"/>
    <w:rsid w:val="0030234E"/>
    <w:rsid w:val="0030321F"/>
    <w:rsid w:val="003035F9"/>
    <w:rsid w:val="003038C3"/>
    <w:rsid w:val="003043B5"/>
    <w:rsid w:val="00304AEB"/>
    <w:rsid w:val="003056DE"/>
    <w:rsid w:val="0030742E"/>
    <w:rsid w:val="00307462"/>
    <w:rsid w:val="003110EC"/>
    <w:rsid w:val="003127E5"/>
    <w:rsid w:val="00312C35"/>
    <w:rsid w:val="00313F3E"/>
    <w:rsid w:val="00314120"/>
    <w:rsid w:val="00314659"/>
    <w:rsid w:val="0031599B"/>
    <w:rsid w:val="003171DE"/>
    <w:rsid w:val="00320617"/>
    <w:rsid w:val="0032116E"/>
    <w:rsid w:val="003217CD"/>
    <w:rsid w:val="00321806"/>
    <w:rsid w:val="00322D89"/>
    <w:rsid w:val="003230FE"/>
    <w:rsid w:val="003241FD"/>
    <w:rsid w:val="00325492"/>
    <w:rsid w:val="00325BA3"/>
    <w:rsid w:val="00325C0D"/>
    <w:rsid w:val="00326953"/>
    <w:rsid w:val="00327349"/>
    <w:rsid w:val="00327FC4"/>
    <w:rsid w:val="00330186"/>
    <w:rsid w:val="003309F3"/>
    <w:rsid w:val="00331074"/>
    <w:rsid w:val="00331349"/>
    <w:rsid w:val="00331A8E"/>
    <w:rsid w:val="003320B3"/>
    <w:rsid w:val="00334F3E"/>
    <w:rsid w:val="003360C8"/>
    <w:rsid w:val="00336EB4"/>
    <w:rsid w:val="00337844"/>
    <w:rsid w:val="00340404"/>
    <w:rsid w:val="00341C50"/>
    <w:rsid w:val="00342041"/>
    <w:rsid w:val="003429A0"/>
    <w:rsid w:val="00343584"/>
    <w:rsid w:val="003435CB"/>
    <w:rsid w:val="00344CCD"/>
    <w:rsid w:val="00344F87"/>
    <w:rsid w:val="00344F8A"/>
    <w:rsid w:val="003453E4"/>
    <w:rsid w:val="003476F5"/>
    <w:rsid w:val="00347D32"/>
    <w:rsid w:val="0035104D"/>
    <w:rsid w:val="003519C2"/>
    <w:rsid w:val="00351A62"/>
    <w:rsid w:val="00351C20"/>
    <w:rsid w:val="00354B5D"/>
    <w:rsid w:val="00354D60"/>
    <w:rsid w:val="003553D9"/>
    <w:rsid w:val="003557B0"/>
    <w:rsid w:val="00355928"/>
    <w:rsid w:val="00355AB8"/>
    <w:rsid w:val="00355FB6"/>
    <w:rsid w:val="00356E3A"/>
    <w:rsid w:val="00357BFE"/>
    <w:rsid w:val="003606BD"/>
    <w:rsid w:val="0036122B"/>
    <w:rsid w:val="003618BE"/>
    <w:rsid w:val="00362C68"/>
    <w:rsid w:val="00362C9E"/>
    <w:rsid w:val="003638AF"/>
    <w:rsid w:val="00363FCC"/>
    <w:rsid w:val="00364787"/>
    <w:rsid w:val="00364DFA"/>
    <w:rsid w:val="003650AC"/>
    <w:rsid w:val="00365BF6"/>
    <w:rsid w:val="00366026"/>
    <w:rsid w:val="00366C19"/>
    <w:rsid w:val="00366C1C"/>
    <w:rsid w:val="00366FAB"/>
    <w:rsid w:val="00367396"/>
    <w:rsid w:val="00371B00"/>
    <w:rsid w:val="00372167"/>
    <w:rsid w:val="003733BF"/>
    <w:rsid w:val="00373C14"/>
    <w:rsid w:val="0037458D"/>
    <w:rsid w:val="0037566C"/>
    <w:rsid w:val="00375788"/>
    <w:rsid w:val="00375F0F"/>
    <w:rsid w:val="003762E1"/>
    <w:rsid w:val="003764CA"/>
    <w:rsid w:val="0037650D"/>
    <w:rsid w:val="00377CFE"/>
    <w:rsid w:val="003801F9"/>
    <w:rsid w:val="00381232"/>
    <w:rsid w:val="00381583"/>
    <w:rsid w:val="003819BF"/>
    <w:rsid w:val="00381F04"/>
    <w:rsid w:val="00382712"/>
    <w:rsid w:val="00382949"/>
    <w:rsid w:val="0038348A"/>
    <w:rsid w:val="00383BAD"/>
    <w:rsid w:val="00384FDB"/>
    <w:rsid w:val="00385066"/>
    <w:rsid w:val="003872AC"/>
    <w:rsid w:val="00390063"/>
    <w:rsid w:val="00390D3A"/>
    <w:rsid w:val="00391B8A"/>
    <w:rsid w:val="003927AD"/>
    <w:rsid w:val="00393862"/>
    <w:rsid w:val="00393923"/>
    <w:rsid w:val="00393C97"/>
    <w:rsid w:val="0039417D"/>
    <w:rsid w:val="003944DB"/>
    <w:rsid w:val="0039499C"/>
    <w:rsid w:val="00395227"/>
    <w:rsid w:val="00395F87"/>
    <w:rsid w:val="00395FE3"/>
    <w:rsid w:val="0039689F"/>
    <w:rsid w:val="00396928"/>
    <w:rsid w:val="00396FD9"/>
    <w:rsid w:val="003A092A"/>
    <w:rsid w:val="003A0EE7"/>
    <w:rsid w:val="003A157A"/>
    <w:rsid w:val="003A1C7F"/>
    <w:rsid w:val="003A4997"/>
    <w:rsid w:val="003A64D9"/>
    <w:rsid w:val="003A66C6"/>
    <w:rsid w:val="003A7C29"/>
    <w:rsid w:val="003A7DEF"/>
    <w:rsid w:val="003A7EAE"/>
    <w:rsid w:val="003B06DF"/>
    <w:rsid w:val="003B4823"/>
    <w:rsid w:val="003B5899"/>
    <w:rsid w:val="003B6FF2"/>
    <w:rsid w:val="003B743A"/>
    <w:rsid w:val="003B744B"/>
    <w:rsid w:val="003B7BF4"/>
    <w:rsid w:val="003C0E3D"/>
    <w:rsid w:val="003C109C"/>
    <w:rsid w:val="003C3101"/>
    <w:rsid w:val="003C3604"/>
    <w:rsid w:val="003C4C57"/>
    <w:rsid w:val="003C4DA7"/>
    <w:rsid w:val="003C57F4"/>
    <w:rsid w:val="003C5C40"/>
    <w:rsid w:val="003C5F88"/>
    <w:rsid w:val="003C5FE7"/>
    <w:rsid w:val="003C6317"/>
    <w:rsid w:val="003C7F3C"/>
    <w:rsid w:val="003D151E"/>
    <w:rsid w:val="003D35CD"/>
    <w:rsid w:val="003D4B8A"/>
    <w:rsid w:val="003D4EDF"/>
    <w:rsid w:val="003D7A7D"/>
    <w:rsid w:val="003E00F6"/>
    <w:rsid w:val="003E0E28"/>
    <w:rsid w:val="003E28A0"/>
    <w:rsid w:val="003E3473"/>
    <w:rsid w:val="003E5D65"/>
    <w:rsid w:val="003F02E0"/>
    <w:rsid w:val="003F0FF9"/>
    <w:rsid w:val="003F23AF"/>
    <w:rsid w:val="003F2429"/>
    <w:rsid w:val="003F2538"/>
    <w:rsid w:val="003F2C7F"/>
    <w:rsid w:val="003F2DF2"/>
    <w:rsid w:val="003F377A"/>
    <w:rsid w:val="003F3FD0"/>
    <w:rsid w:val="003F5528"/>
    <w:rsid w:val="003F6BF5"/>
    <w:rsid w:val="00401D76"/>
    <w:rsid w:val="00402EE1"/>
    <w:rsid w:val="0040383D"/>
    <w:rsid w:val="00404489"/>
    <w:rsid w:val="00404DDA"/>
    <w:rsid w:val="004074AC"/>
    <w:rsid w:val="004109B1"/>
    <w:rsid w:val="00411557"/>
    <w:rsid w:val="00411A31"/>
    <w:rsid w:val="00413E1A"/>
    <w:rsid w:val="00414952"/>
    <w:rsid w:val="004153C9"/>
    <w:rsid w:val="00415791"/>
    <w:rsid w:val="004159B0"/>
    <w:rsid w:val="00415C74"/>
    <w:rsid w:val="0041665B"/>
    <w:rsid w:val="004167F4"/>
    <w:rsid w:val="004174B1"/>
    <w:rsid w:val="0042061B"/>
    <w:rsid w:val="004212E8"/>
    <w:rsid w:val="00421D6C"/>
    <w:rsid w:val="00421F28"/>
    <w:rsid w:val="004233CF"/>
    <w:rsid w:val="00423BFF"/>
    <w:rsid w:val="00423CFE"/>
    <w:rsid w:val="0042571C"/>
    <w:rsid w:val="004267E0"/>
    <w:rsid w:val="00426B31"/>
    <w:rsid w:val="004272FB"/>
    <w:rsid w:val="00430487"/>
    <w:rsid w:val="004306F3"/>
    <w:rsid w:val="00430C02"/>
    <w:rsid w:val="004313CE"/>
    <w:rsid w:val="004320C3"/>
    <w:rsid w:val="00432469"/>
    <w:rsid w:val="00432A89"/>
    <w:rsid w:val="004354FA"/>
    <w:rsid w:val="00436E8D"/>
    <w:rsid w:val="00440185"/>
    <w:rsid w:val="004406A5"/>
    <w:rsid w:val="004411BD"/>
    <w:rsid w:val="0044195B"/>
    <w:rsid w:val="004429C3"/>
    <w:rsid w:val="00442DDF"/>
    <w:rsid w:val="00444788"/>
    <w:rsid w:val="00445C81"/>
    <w:rsid w:val="0044604B"/>
    <w:rsid w:val="00447391"/>
    <w:rsid w:val="00450778"/>
    <w:rsid w:val="00451095"/>
    <w:rsid w:val="004515D1"/>
    <w:rsid w:val="00451727"/>
    <w:rsid w:val="00451983"/>
    <w:rsid w:val="004525A7"/>
    <w:rsid w:val="00453D32"/>
    <w:rsid w:val="00454449"/>
    <w:rsid w:val="00454659"/>
    <w:rsid w:val="00455F8A"/>
    <w:rsid w:val="00456731"/>
    <w:rsid w:val="004604BC"/>
    <w:rsid w:val="00464564"/>
    <w:rsid w:val="00464F12"/>
    <w:rsid w:val="00465D80"/>
    <w:rsid w:val="004662C5"/>
    <w:rsid w:val="0046678D"/>
    <w:rsid w:val="00471005"/>
    <w:rsid w:val="00473299"/>
    <w:rsid w:val="004735BB"/>
    <w:rsid w:val="00473BBC"/>
    <w:rsid w:val="00473F86"/>
    <w:rsid w:val="004742F8"/>
    <w:rsid w:val="0047552D"/>
    <w:rsid w:val="00476513"/>
    <w:rsid w:val="00476A48"/>
    <w:rsid w:val="0048088B"/>
    <w:rsid w:val="00480B2E"/>
    <w:rsid w:val="00481D44"/>
    <w:rsid w:val="00481DB7"/>
    <w:rsid w:val="00481E3F"/>
    <w:rsid w:val="00481F5B"/>
    <w:rsid w:val="00483BAE"/>
    <w:rsid w:val="00483C8F"/>
    <w:rsid w:val="00485529"/>
    <w:rsid w:val="004857FF"/>
    <w:rsid w:val="0048654A"/>
    <w:rsid w:val="00487957"/>
    <w:rsid w:val="004907CA"/>
    <w:rsid w:val="00490C08"/>
    <w:rsid w:val="0049243E"/>
    <w:rsid w:val="004978A6"/>
    <w:rsid w:val="004A2BF3"/>
    <w:rsid w:val="004A32A7"/>
    <w:rsid w:val="004A39AD"/>
    <w:rsid w:val="004A3C90"/>
    <w:rsid w:val="004A421D"/>
    <w:rsid w:val="004A5668"/>
    <w:rsid w:val="004A61A8"/>
    <w:rsid w:val="004A73F8"/>
    <w:rsid w:val="004B0AA0"/>
    <w:rsid w:val="004B10B5"/>
    <w:rsid w:val="004B1315"/>
    <w:rsid w:val="004B232C"/>
    <w:rsid w:val="004B2CCF"/>
    <w:rsid w:val="004B6487"/>
    <w:rsid w:val="004B6EFD"/>
    <w:rsid w:val="004B74F0"/>
    <w:rsid w:val="004B77EC"/>
    <w:rsid w:val="004C20E5"/>
    <w:rsid w:val="004C252B"/>
    <w:rsid w:val="004C4C22"/>
    <w:rsid w:val="004C5C51"/>
    <w:rsid w:val="004C6CDB"/>
    <w:rsid w:val="004C714C"/>
    <w:rsid w:val="004C7171"/>
    <w:rsid w:val="004D0562"/>
    <w:rsid w:val="004D07E7"/>
    <w:rsid w:val="004D23A0"/>
    <w:rsid w:val="004D27B8"/>
    <w:rsid w:val="004D2F3C"/>
    <w:rsid w:val="004D4377"/>
    <w:rsid w:val="004D4E78"/>
    <w:rsid w:val="004D587A"/>
    <w:rsid w:val="004D6FAB"/>
    <w:rsid w:val="004E0D25"/>
    <w:rsid w:val="004E1801"/>
    <w:rsid w:val="004E2784"/>
    <w:rsid w:val="004E2CA6"/>
    <w:rsid w:val="004E3396"/>
    <w:rsid w:val="004E5065"/>
    <w:rsid w:val="004E7BDE"/>
    <w:rsid w:val="004E7FC6"/>
    <w:rsid w:val="004F0E81"/>
    <w:rsid w:val="004F10B8"/>
    <w:rsid w:val="004F13A2"/>
    <w:rsid w:val="004F1533"/>
    <w:rsid w:val="004F1B42"/>
    <w:rsid w:val="004F335E"/>
    <w:rsid w:val="004F3606"/>
    <w:rsid w:val="004F362D"/>
    <w:rsid w:val="004F389C"/>
    <w:rsid w:val="004F39F7"/>
    <w:rsid w:val="004F57C7"/>
    <w:rsid w:val="004F5CFB"/>
    <w:rsid w:val="004F6ED2"/>
    <w:rsid w:val="004F71FF"/>
    <w:rsid w:val="00500B3D"/>
    <w:rsid w:val="00501B7B"/>
    <w:rsid w:val="0050361B"/>
    <w:rsid w:val="0050452C"/>
    <w:rsid w:val="00506C17"/>
    <w:rsid w:val="005104B4"/>
    <w:rsid w:val="005105DA"/>
    <w:rsid w:val="00510D18"/>
    <w:rsid w:val="005125B6"/>
    <w:rsid w:val="005135B7"/>
    <w:rsid w:val="005138CA"/>
    <w:rsid w:val="005142B4"/>
    <w:rsid w:val="005152A2"/>
    <w:rsid w:val="00520395"/>
    <w:rsid w:val="005227BA"/>
    <w:rsid w:val="00523815"/>
    <w:rsid w:val="00523A3D"/>
    <w:rsid w:val="0052419D"/>
    <w:rsid w:val="0052445E"/>
    <w:rsid w:val="005248BC"/>
    <w:rsid w:val="0052539B"/>
    <w:rsid w:val="00525891"/>
    <w:rsid w:val="0052688C"/>
    <w:rsid w:val="00530F94"/>
    <w:rsid w:val="005315F4"/>
    <w:rsid w:val="00531647"/>
    <w:rsid w:val="00532681"/>
    <w:rsid w:val="00533243"/>
    <w:rsid w:val="0053369E"/>
    <w:rsid w:val="005341FC"/>
    <w:rsid w:val="005368B2"/>
    <w:rsid w:val="005376F7"/>
    <w:rsid w:val="005378F7"/>
    <w:rsid w:val="00537B49"/>
    <w:rsid w:val="00540C0B"/>
    <w:rsid w:val="00541715"/>
    <w:rsid w:val="00542B79"/>
    <w:rsid w:val="00543CFD"/>
    <w:rsid w:val="005440F9"/>
    <w:rsid w:val="00545469"/>
    <w:rsid w:val="0054632D"/>
    <w:rsid w:val="00546E42"/>
    <w:rsid w:val="00547B4F"/>
    <w:rsid w:val="00547CDC"/>
    <w:rsid w:val="00547DC3"/>
    <w:rsid w:val="00550271"/>
    <w:rsid w:val="00551B75"/>
    <w:rsid w:val="00551DD6"/>
    <w:rsid w:val="00553440"/>
    <w:rsid w:val="005538F4"/>
    <w:rsid w:val="00553A35"/>
    <w:rsid w:val="00553C06"/>
    <w:rsid w:val="00554C34"/>
    <w:rsid w:val="00554FDF"/>
    <w:rsid w:val="00555866"/>
    <w:rsid w:val="00555900"/>
    <w:rsid w:val="00555C67"/>
    <w:rsid w:val="00556077"/>
    <w:rsid w:val="00556E14"/>
    <w:rsid w:val="005572B1"/>
    <w:rsid w:val="00557634"/>
    <w:rsid w:val="005579E0"/>
    <w:rsid w:val="00557A55"/>
    <w:rsid w:val="00557C4B"/>
    <w:rsid w:val="00560321"/>
    <w:rsid w:val="00560A5A"/>
    <w:rsid w:val="00560FED"/>
    <w:rsid w:val="00561637"/>
    <w:rsid w:val="00561C4F"/>
    <w:rsid w:val="00562EC8"/>
    <w:rsid w:val="00563C10"/>
    <w:rsid w:val="00564975"/>
    <w:rsid w:val="005657B9"/>
    <w:rsid w:val="00566482"/>
    <w:rsid w:val="005670D8"/>
    <w:rsid w:val="00567777"/>
    <w:rsid w:val="005718DB"/>
    <w:rsid w:val="00572642"/>
    <w:rsid w:val="00573601"/>
    <w:rsid w:val="005746F6"/>
    <w:rsid w:val="005747A5"/>
    <w:rsid w:val="005754BE"/>
    <w:rsid w:val="005754CB"/>
    <w:rsid w:val="00577F10"/>
    <w:rsid w:val="00580D5F"/>
    <w:rsid w:val="00581514"/>
    <w:rsid w:val="0058193A"/>
    <w:rsid w:val="00581C7D"/>
    <w:rsid w:val="00585558"/>
    <w:rsid w:val="0058586D"/>
    <w:rsid w:val="005867E8"/>
    <w:rsid w:val="00590AC7"/>
    <w:rsid w:val="0059131F"/>
    <w:rsid w:val="00592C9F"/>
    <w:rsid w:val="00593F72"/>
    <w:rsid w:val="00595222"/>
    <w:rsid w:val="00595E41"/>
    <w:rsid w:val="0059689E"/>
    <w:rsid w:val="005A0C03"/>
    <w:rsid w:val="005A17ED"/>
    <w:rsid w:val="005A1A68"/>
    <w:rsid w:val="005A1BF2"/>
    <w:rsid w:val="005A25F3"/>
    <w:rsid w:val="005A269B"/>
    <w:rsid w:val="005A7C46"/>
    <w:rsid w:val="005B0733"/>
    <w:rsid w:val="005B0C0C"/>
    <w:rsid w:val="005B3979"/>
    <w:rsid w:val="005B3E18"/>
    <w:rsid w:val="005B4B9A"/>
    <w:rsid w:val="005B57EF"/>
    <w:rsid w:val="005B7C29"/>
    <w:rsid w:val="005C16B6"/>
    <w:rsid w:val="005C1A2D"/>
    <w:rsid w:val="005C25D5"/>
    <w:rsid w:val="005C4385"/>
    <w:rsid w:val="005C4820"/>
    <w:rsid w:val="005C52F5"/>
    <w:rsid w:val="005C5C36"/>
    <w:rsid w:val="005C6068"/>
    <w:rsid w:val="005C60B7"/>
    <w:rsid w:val="005C779A"/>
    <w:rsid w:val="005C7FAE"/>
    <w:rsid w:val="005D04EA"/>
    <w:rsid w:val="005D1C19"/>
    <w:rsid w:val="005D1DDA"/>
    <w:rsid w:val="005D1EAE"/>
    <w:rsid w:val="005D2049"/>
    <w:rsid w:val="005D231E"/>
    <w:rsid w:val="005D3420"/>
    <w:rsid w:val="005D566C"/>
    <w:rsid w:val="005D59F7"/>
    <w:rsid w:val="005D63FF"/>
    <w:rsid w:val="005D6509"/>
    <w:rsid w:val="005D6FF8"/>
    <w:rsid w:val="005D71DF"/>
    <w:rsid w:val="005E1711"/>
    <w:rsid w:val="005E1957"/>
    <w:rsid w:val="005E2A64"/>
    <w:rsid w:val="005E38F4"/>
    <w:rsid w:val="005E38F5"/>
    <w:rsid w:val="005E45AC"/>
    <w:rsid w:val="005E7796"/>
    <w:rsid w:val="005F0F7E"/>
    <w:rsid w:val="005F1A67"/>
    <w:rsid w:val="005F29AA"/>
    <w:rsid w:val="005F44B7"/>
    <w:rsid w:val="005F5AA5"/>
    <w:rsid w:val="005F628F"/>
    <w:rsid w:val="005F6EEA"/>
    <w:rsid w:val="005F7DBF"/>
    <w:rsid w:val="006002C7"/>
    <w:rsid w:val="0060063E"/>
    <w:rsid w:val="0060137C"/>
    <w:rsid w:val="00602ADC"/>
    <w:rsid w:val="00602B2A"/>
    <w:rsid w:val="00602CFC"/>
    <w:rsid w:val="006034B2"/>
    <w:rsid w:val="0060390B"/>
    <w:rsid w:val="006045B3"/>
    <w:rsid w:val="00605001"/>
    <w:rsid w:val="00605EC1"/>
    <w:rsid w:val="006064BD"/>
    <w:rsid w:val="00607682"/>
    <w:rsid w:val="00607BF1"/>
    <w:rsid w:val="00610089"/>
    <w:rsid w:val="00610099"/>
    <w:rsid w:val="00610F54"/>
    <w:rsid w:val="0061104B"/>
    <w:rsid w:val="0061157D"/>
    <w:rsid w:val="00611B71"/>
    <w:rsid w:val="00611CD4"/>
    <w:rsid w:val="006127ED"/>
    <w:rsid w:val="00613111"/>
    <w:rsid w:val="00613686"/>
    <w:rsid w:val="00614340"/>
    <w:rsid w:val="00614CFF"/>
    <w:rsid w:val="00615053"/>
    <w:rsid w:val="00615CD4"/>
    <w:rsid w:val="00616808"/>
    <w:rsid w:val="0061717D"/>
    <w:rsid w:val="006212CF"/>
    <w:rsid w:val="006216C2"/>
    <w:rsid w:val="00622795"/>
    <w:rsid w:val="00623375"/>
    <w:rsid w:val="00623527"/>
    <w:rsid w:val="006236F1"/>
    <w:rsid w:val="00623F3C"/>
    <w:rsid w:val="006247A9"/>
    <w:rsid w:val="006257E9"/>
    <w:rsid w:val="00626168"/>
    <w:rsid w:val="00627D64"/>
    <w:rsid w:val="006309E7"/>
    <w:rsid w:val="00631588"/>
    <w:rsid w:val="00633BD9"/>
    <w:rsid w:val="00634EA1"/>
    <w:rsid w:val="00635349"/>
    <w:rsid w:val="00635816"/>
    <w:rsid w:val="00640C38"/>
    <w:rsid w:val="00641B06"/>
    <w:rsid w:val="006447DC"/>
    <w:rsid w:val="00644DC1"/>
    <w:rsid w:val="00645465"/>
    <w:rsid w:val="006462E4"/>
    <w:rsid w:val="00646F3B"/>
    <w:rsid w:val="00647539"/>
    <w:rsid w:val="006502A4"/>
    <w:rsid w:val="006504C3"/>
    <w:rsid w:val="00650C92"/>
    <w:rsid w:val="00650F6B"/>
    <w:rsid w:val="00651F93"/>
    <w:rsid w:val="006523E3"/>
    <w:rsid w:val="00652A2F"/>
    <w:rsid w:val="00653037"/>
    <w:rsid w:val="00654290"/>
    <w:rsid w:val="006545B6"/>
    <w:rsid w:val="006558CC"/>
    <w:rsid w:val="00655A0D"/>
    <w:rsid w:val="00656753"/>
    <w:rsid w:val="00660FD6"/>
    <w:rsid w:val="00661237"/>
    <w:rsid w:val="006621C2"/>
    <w:rsid w:val="00663FCF"/>
    <w:rsid w:val="00664C21"/>
    <w:rsid w:val="00665779"/>
    <w:rsid w:val="00665FAD"/>
    <w:rsid w:val="00667F35"/>
    <w:rsid w:val="006701C7"/>
    <w:rsid w:val="0067086D"/>
    <w:rsid w:val="00671AFA"/>
    <w:rsid w:val="00671FBA"/>
    <w:rsid w:val="00672F41"/>
    <w:rsid w:val="00673C1D"/>
    <w:rsid w:val="00674259"/>
    <w:rsid w:val="00674A62"/>
    <w:rsid w:val="00674A9B"/>
    <w:rsid w:val="00680EC0"/>
    <w:rsid w:val="00681107"/>
    <w:rsid w:val="006818A2"/>
    <w:rsid w:val="00681B11"/>
    <w:rsid w:val="00681EA6"/>
    <w:rsid w:val="00682714"/>
    <w:rsid w:val="00682D59"/>
    <w:rsid w:val="00684ACD"/>
    <w:rsid w:val="006850E2"/>
    <w:rsid w:val="00685E6D"/>
    <w:rsid w:val="00687A28"/>
    <w:rsid w:val="00690C93"/>
    <w:rsid w:val="00690E44"/>
    <w:rsid w:val="00691604"/>
    <w:rsid w:val="00692451"/>
    <w:rsid w:val="00694C34"/>
    <w:rsid w:val="00695935"/>
    <w:rsid w:val="00695CF8"/>
    <w:rsid w:val="00695D86"/>
    <w:rsid w:val="00695E3E"/>
    <w:rsid w:val="00697342"/>
    <w:rsid w:val="006A0744"/>
    <w:rsid w:val="006A0E69"/>
    <w:rsid w:val="006A2C1E"/>
    <w:rsid w:val="006A2FBA"/>
    <w:rsid w:val="006A489D"/>
    <w:rsid w:val="006A4C34"/>
    <w:rsid w:val="006A6436"/>
    <w:rsid w:val="006A7853"/>
    <w:rsid w:val="006A7A10"/>
    <w:rsid w:val="006B06BE"/>
    <w:rsid w:val="006B078E"/>
    <w:rsid w:val="006B0B83"/>
    <w:rsid w:val="006B3421"/>
    <w:rsid w:val="006B462E"/>
    <w:rsid w:val="006B462F"/>
    <w:rsid w:val="006B561E"/>
    <w:rsid w:val="006B56B2"/>
    <w:rsid w:val="006B637E"/>
    <w:rsid w:val="006B6489"/>
    <w:rsid w:val="006B7620"/>
    <w:rsid w:val="006B76E6"/>
    <w:rsid w:val="006C0AF4"/>
    <w:rsid w:val="006C1146"/>
    <w:rsid w:val="006C16E1"/>
    <w:rsid w:val="006C20D4"/>
    <w:rsid w:val="006C210A"/>
    <w:rsid w:val="006C2CD8"/>
    <w:rsid w:val="006C3C34"/>
    <w:rsid w:val="006C3E9C"/>
    <w:rsid w:val="006C4536"/>
    <w:rsid w:val="006C54C7"/>
    <w:rsid w:val="006C5678"/>
    <w:rsid w:val="006C645A"/>
    <w:rsid w:val="006C6A33"/>
    <w:rsid w:val="006C6CB9"/>
    <w:rsid w:val="006C6D8D"/>
    <w:rsid w:val="006C7702"/>
    <w:rsid w:val="006C7704"/>
    <w:rsid w:val="006C7C24"/>
    <w:rsid w:val="006D059E"/>
    <w:rsid w:val="006D0841"/>
    <w:rsid w:val="006D304E"/>
    <w:rsid w:val="006D3853"/>
    <w:rsid w:val="006D3923"/>
    <w:rsid w:val="006D45DB"/>
    <w:rsid w:val="006D4620"/>
    <w:rsid w:val="006D47BA"/>
    <w:rsid w:val="006D51E4"/>
    <w:rsid w:val="006D55FD"/>
    <w:rsid w:val="006D5CD4"/>
    <w:rsid w:val="006D6786"/>
    <w:rsid w:val="006D6B7C"/>
    <w:rsid w:val="006D7128"/>
    <w:rsid w:val="006D733A"/>
    <w:rsid w:val="006D7D62"/>
    <w:rsid w:val="006D7EF6"/>
    <w:rsid w:val="006E0A03"/>
    <w:rsid w:val="006E0EC5"/>
    <w:rsid w:val="006E2406"/>
    <w:rsid w:val="006E3812"/>
    <w:rsid w:val="006E3ED4"/>
    <w:rsid w:val="006E4D51"/>
    <w:rsid w:val="006E64D8"/>
    <w:rsid w:val="006E6D06"/>
    <w:rsid w:val="006E7388"/>
    <w:rsid w:val="006E7B33"/>
    <w:rsid w:val="006E7B6A"/>
    <w:rsid w:val="006F0799"/>
    <w:rsid w:val="006F15B6"/>
    <w:rsid w:val="006F1C76"/>
    <w:rsid w:val="006F212B"/>
    <w:rsid w:val="006F25C6"/>
    <w:rsid w:val="006F6ABE"/>
    <w:rsid w:val="006F7C0A"/>
    <w:rsid w:val="007006E3"/>
    <w:rsid w:val="0070141B"/>
    <w:rsid w:val="00702467"/>
    <w:rsid w:val="00702B91"/>
    <w:rsid w:val="00703518"/>
    <w:rsid w:val="007035F0"/>
    <w:rsid w:val="00704537"/>
    <w:rsid w:val="0070620E"/>
    <w:rsid w:val="007071DB"/>
    <w:rsid w:val="0070772B"/>
    <w:rsid w:val="00707747"/>
    <w:rsid w:val="0071105C"/>
    <w:rsid w:val="00712862"/>
    <w:rsid w:val="00713E13"/>
    <w:rsid w:val="00714C73"/>
    <w:rsid w:val="007165EF"/>
    <w:rsid w:val="0071713A"/>
    <w:rsid w:val="00717673"/>
    <w:rsid w:val="00717941"/>
    <w:rsid w:val="00717A47"/>
    <w:rsid w:val="00717C71"/>
    <w:rsid w:val="0072057D"/>
    <w:rsid w:val="00720F27"/>
    <w:rsid w:val="0072173E"/>
    <w:rsid w:val="00721810"/>
    <w:rsid w:val="007234CC"/>
    <w:rsid w:val="007240F8"/>
    <w:rsid w:val="007269A9"/>
    <w:rsid w:val="00726BF9"/>
    <w:rsid w:val="007270FA"/>
    <w:rsid w:val="007315F7"/>
    <w:rsid w:val="0073178C"/>
    <w:rsid w:val="00731B86"/>
    <w:rsid w:val="00734950"/>
    <w:rsid w:val="00735559"/>
    <w:rsid w:val="00735753"/>
    <w:rsid w:val="00736510"/>
    <w:rsid w:val="0073748D"/>
    <w:rsid w:val="0074198E"/>
    <w:rsid w:val="00741B53"/>
    <w:rsid w:val="00747B00"/>
    <w:rsid w:val="00750D28"/>
    <w:rsid w:val="00751EC8"/>
    <w:rsid w:val="00752427"/>
    <w:rsid w:val="00752863"/>
    <w:rsid w:val="00753CDA"/>
    <w:rsid w:val="0075469C"/>
    <w:rsid w:val="0075492A"/>
    <w:rsid w:val="00754F02"/>
    <w:rsid w:val="00757579"/>
    <w:rsid w:val="00757F7F"/>
    <w:rsid w:val="007607C1"/>
    <w:rsid w:val="007621A3"/>
    <w:rsid w:val="0076354F"/>
    <w:rsid w:val="007658FA"/>
    <w:rsid w:val="00765D12"/>
    <w:rsid w:val="0076641F"/>
    <w:rsid w:val="007664F7"/>
    <w:rsid w:val="00766909"/>
    <w:rsid w:val="007669B5"/>
    <w:rsid w:val="00771C71"/>
    <w:rsid w:val="00771C7D"/>
    <w:rsid w:val="00771CF6"/>
    <w:rsid w:val="0077203C"/>
    <w:rsid w:val="00772200"/>
    <w:rsid w:val="007732F2"/>
    <w:rsid w:val="0077373A"/>
    <w:rsid w:val="00774537"/>
    <w:rsid w:val="00774F5E"/>
    <w:rsid w:val="007758D8"/>
    <w:rsid w:val="007762DA"/>
    <w:rsid w:val="007772A6"/>
    <w:rsid w:val="007772B4"/>
    <w:rsid w:val="00777D0A"/>
    <w:rsid w:val="007807FF"/>
    <w:rsid w:val="00780C53"/>
    <w:rsid w:val="00783F9B"/>
    <w:rsid w:val="00784002"/>
    <w:rsid w:val="007842AE"/>
    <w:rsid w:val="007843DA"/>
    <w:rsid w:val="0078495A"/>
    <w:rsid w:val="00784E91"/>
    <w:rsid w:val="007854DF"/>
    <w:rsid w:val="00785787"/>
    <w:rsid w:val="00785857"/>
    <w:rsid w:val="00785974"/>
    <w:rsid w:val="00785B3A"/>
    <w:rsid w:val="00787C1D"/>
    <w:rsid w:val="00787D31"/>
    <w:rsid w:val="007902D8"/>
    <w:rsid w:val="007915ED"/>
    <w:rsid w:val="007917C2"/>
    <w:rsid w:val="0079247E"/>
    <w:rsid w:val="00792DE4"/>
    <w:rsid w:val="007935E7"/>
    <w:rsid w:val="007947BD"/>
    <w:rsid w:val="00794BC4"/>
    <w:rsid w:val="00794F64"/>
    <w:rsid w:val="00795AA3"/>
    <w:rsid w:val="00795FDC"/>
    <w:rsid w:val="00796479"/>
    <w:rsid w:val="00796A19"/>
    <w:rsid w:val="007975DC"/>
    <w:rsid w:val="007A0DC1"/>
    <w:rsid w:val="007A1241"/>
    <w:rsid w:val="007A1B2A"/>
    <w:rsid w:val="007A244C"/>
    <w:rsid w:val="007A4131"/>
    <w:rsid w:val="007A474D"/>
    <w:rsid w:val="007A5951"/>
    <w:rsid w:val="007A5D0E"/>
    <w:rsid w:val="007A5FC9"/>
    <w:rsid w:val="007A7370"/>
    <w:rsid w:val="007A7C70"/>
    <w:rsid w:val="007A7EAF"/>
    <w:rsid w:val="007A7F4A"/>
    <w:rsid w:val="007B0600"/>
    <w:rsid w:val="007B0BD0"/>
    <w:rsid w:val="007B1B48"/>
    <w:rsid w:val="007B20A8"/>
    <w:rsid w:val="007B36D3"/>
    <w:rsid w:val="007B3B3F"/>
    <w:rsid w:val="007B4629"/>
    <w:rsid w:val="007B4CFE"/>
    <w:rsid w:val="007B4E6D"/>
    <w:rsid w:val="007B55C5"/>
    <w:rsid w:val="007B5A24"/>
    <w:rsid w:val="007B5C25"/>
    <w:rsid w:val="007B5C49"/>
    <w:rsid w:val="007B628D"/>
    <w:rsid w:val="007B6DBD"/>
    <w:rsid w:val="007B7E28"/>
    <w:rsid w:val="007C04A3"/>
    <w:rsid w:val="007C065A"/>
    <w:rsid w:val="007C07E0"/>
    <w:rsid w:val="007C1940"/>
    <w:rsid w:val="007C2C28"/>
    <w:rsid w:val="007C3870"/>
    <w:rsid w:val="007C3BE4"/>
    <w:rsid w:val="007C3E77"/>
    <w:rsid w:val="007C478B"/>
    <w:rsid w:val="007C7794"/>
    <w:rsid w:val="007C78A0"/>
    <w:rsid w:val="007C7955"/>
    <w:rsid w:val="007D0A75"/>
    <w:rsid w:val="007D0C40"/>
    <w:rsid w:val="007D109B"/>
    <w:rsid w:val="007D22B4"/>
    <w:rsid w:val="007D2460"/>
    <w:rsid w:val="007D28F5"/>
    <w:rsid w:val="007D39F6"/>
    <w:rsid w:val="007D3F73"/>
    <w:rsid w:val="007D44F6"/>
    <w:rsid w:val="007D4AB0"/>
    <w:rsid w:val="007D518B"/>
    <w:rsid w:val="007D57B7"/>
    <w:rsid w:val="007D6A0F"/>
    <w:rsid w:val="007D78CC"/>
    <w:rsid w:val="007D7A54"/>
    <w:rsid w:val="007E03EF"/>
    <w:rsid w:val="007E13CA"/>
    <w:rsid w:val="007E1872"/>
    <w:rsid w:val="007E47B0"/>
    <w:rsid w:val="007E4917"/>
    <w:rsid w:val="007E4D0E"/>
    <w:rsid w:val="007E51A0"/>
    <w:rsid w:val="007E5EC2"/>
    <w:rsid w:val="007F0FED"/>
    <w:rsid w:val="007F1821"/>
    <w:rsid w:val="007F18B9"/>
    <w:rsid w:val="007F204D"/>
    <w:rsid w:val="007F3330"/>
    <w:rsid w:val="007F5C21"/>
    <w:rsid w:val="007F68F3"/>
    <w:rsid w:val="00801CB9"/>
    <w:rsid w:val="0080315C"/>
    <w:rsid w:val="00803A6A"/>
    <w:rsid w:val="00803DB1"/>
    <w:rsid w:val="00804C9D"/>
    <w:rsid w:val="00806443"/>
    <w:rsid w:val="00810A01"/>
    <w:rsid w:val="008121BC"/>
    <w:rsid w:val="008125B8"/>
    <w:rsid w:val="00812C11"/>
    <w:rsid w:val="0081345A"/>
    <w:rsid w:val="008135AD"/>
    <w:rsid w:val="00814B9E"/>
    <w:rsid w:val="00815E5A"/>
    <w:rsid w:val="00817E9F"/>
    <w:rsid w:val="00820789"/>
    <w:rsid w:val="00820E54"/>
    <w:rsid w:val="00822166"/>
    <w:rsid w:val="00822669"/>
    <w:rsid w:val="00822DE7"/>
    <w:rsid w:val="00822EC4"/>
    <w:rsid w:val="00822ECF"/>
    <w:rsid w:val="00826E7D"/>
    <w:rsid w:val="00826F29"/>
    <w:rsid w:val="00827259"/>
    <w:rsid w:val="008276B9"/>
    <w:rsid w:val="008313D3"/>
    <w:rsid w:val="00832D6E"/>
    <w:rsid w:val="008363F6"/>
    <w:rsid w:val="00837F80"/>
    <w:rsid w:val="008414FC"/>
    <w:rsid w:val="00841A0C"/>
    <w:rsid w:val="008423E2"/>
    <w:rsid w:val="00842B0D"/>
    <w:rsid w:val="008435B2"/>
    <w:rsid w:val="00844244"/>
    <w:rsid w:val="008449D4"/>
    <w:rsid w:val="00845522"/>
    <w:rsid w:val="00845546"/>
    <w:rsid w:val="008462BA"/>
    <w:rsid w:val="00846641"/>
    <w:rsid w:val="00846E2E"/>
    <w:rsid w:val="00847305"/>
    <w:rsid w:val="00847B09"/>
    <w:rsid w:val="008517AD"/>
    <w:rsid w:val="00851D5D"/>
    <w:rsid w:val="00852CFC"/>
    <w:rsid w:val="00853BFB"/>
    <w:rsid w:val="00854200"/>
    <w:rsid w:val="00854551"/>
    <w:rsid w:val="0085592A"/>
    <w:rsid w:val="008566F3"/>
    <w:rsid w:val="00856C3B"/>
    <w:rsid w:val="00857047"/>
    <w:rsid w:val="008571EA"/>
    <w:rsid w:val="0085774E"/>
    <w:rsid w:val="0085783B"/>
    <w:rsid w:val="0085795F"/>
    <w:rsid w:val="00860A93"/>
    <w:rsid w:val="00860CC1"/>
    <w:rsid w:val="00860E4D"/>
    <w:rsid w:val="0086272F"/>
    <w:rsid w:val="00862851"/>
    <w:rsid w:val="00862CDE"/>
    <w:rsid w:val="00863698"/>
    <w:rsid w:val="008638EE"/>
    <w:rsid w:val="00864846"/>
    <w:rsid w:val="00867591"/>
    <w:rsid w:val="00867E57"/>
    <w:rsid w:val="008704E0"/>
    <w:rsid w:val="00870580"/>
    <w:rsid w:val="0087082C"/>
    <w:rsid w:val="008719C5"/>
    <w:rsid w:val="008719E6"/>
    <w:rsid w:val="00871EAC"/>
    <w:rsid w:val="00871F5F"/>
    <w:rsid w:val="008731D3"/>
    <w:rsid w:val="00873419"/>
    <w:rsid w:val="00874C9B"/>
    <w:rsid w:val="00880334"/>
    <w:rsid w:val="00880346"/>
    <w:rsid w:val="008804E7"/>
    <w:rsid w:val="008811BA"/>
    <w:rsid w:val="00881F09"/>
    <w:rsid w:val="00883629"/>
    <w:rsid w:val="00884A7E"/>
    <w:rsid w:val="00884D2B"/>
    <w:rsid w:val="008851D0"/>
    <w:rsid w:val="00885693"/>
    <w:rsid w:val="00885696"/>
    <w:rsid w:val="008856DF"/>
    <w:rsid w:val="00885806"/>
    <w:rsid w:val="00886428"/>
    <w:rsid w:val="008873B7"/>
    <w:rsid w:val="00887902"/>
    <w:rsid w:val="00887DD2"/>
    <w:rsid w:val="00887EA1"/>
    <w:rsid w:val="00890182"/>
    <w:rsid w:val="00890C2B"/>
    <w:rsid w:val="00890F3B"/>
    <w:rsid w:val="00891FFA"/>
    <w:rsid w:val="00892EBC"/>
    <w:rsid w:val="0089306F"/>
    <w:rsid w:val="00893850"/>
    <w:rsid w:val="0089395B"/>
    <w:rsid w:val="008948E7"/>
    <w:rsid w:val="00894D2A"/>
    <w:rsid w:val="00895BB6"/>
    <w:rsid w:val="00895E29"/>
    <w:rsid w:val="00895E86"/>
    <w:rsid w:val="008A0950"/>
    <w:rsid w:val="008A1B6F"/>
    <w:rsid w:val="008A209C"/>
    <w:rsid w:val="008A251C"/>
    <w:rsid w:val="008A25AF"/>
    <w:rsid w:val="008A2BF3"/>
    <w:rsid w:val="008A43F6"/>
    <w:rsid w:val="008A45C4"/>
    <w:rsid w:val="008A61EE"/>
    <w:rsid w:val="008A6759"/>
    <w:rsid w:val="008A6DED"/>
    <w:rsid w:val="008A711D"/>
    <w:rsid w:val="008B02EB"/>
    <w:rsid w:val="008B0D49"/>
    <w:rsid w:val="008B26E7"/>
    <w:rsid w:val="008B33DA"/>
    <w:rsid w:val="008B3953"/>
    <w:rsid w:val="008B3C60"/>
    <w:rsid w:val="008B3CB1"/>
    <w:rsid w:val="008B419A"/>
    <w:rsid w:val="008B5172"/>
    <w:rsid w:val="008B6E67"/>
    <w:rsid w:val="008C08DC"/>
    <w:rsid w:val="008C0AE4"/>
    <w:rsid w:val="008C152B"/>
    <w:rsid w:val="008C1F60"/>
    <w:rsid w:val="008C21FB"/>
    <w:rsid w:val="008C237B"/>
    <w:rsid w:val="008C2C0B"/>
    <w:rsid w:val="008C329D"/>
    <w:rsid w:val="008C3337"/>
    <w:rsid w:val="008C4DE6"/>
    <w:rsid w:val="008C515C"/>
    <w:rsid w:val="008C5FBC"/>
    <w:rsid w:val="008C6318"/>
    <w:rsid w:val="008C6562"/>
    <w:rsid w:val="008C65FF"/>
    <w:rsid w:val="008C734C"/>
    <w:rsid w:val="008D013B"/>
    <w:rsid w:val="008D0C34"/>
    <w:rsid w:val="008D0FA0"/>
    <w:rsid w:val="008D12B5"/>
    <w:rsid w:val="008D1E68"/>
    <w:rsid w:val="008D2914"/>
    <w:rsid w:val="008D2F6A"/>
    <w:rsid w:val="008D338E"/>
    <w:rsid w:val="008D44CB"/>
    <w:rsid w:val="008D4AB8"/>
    <w:rsid w:val="008D6A6E"/>
    <w:rsid w:val="008D71AC"/>
    <w:rsid w:val="008D7D11"/>
    <w:rsid w:val="008E00CC"/>
    <w:rsid w:val="008E0292"/>
    <w:rsid w:val="008E049C"/>
    <w:rsid w:val="008E1DA6"/>
    <w:rsid w:val="008E2053"/>
    <w:rsid w:val="008E31C9"/>
    <w:rsid w:val="008E38B1"/>
    <w:rsid w:val="008E57F2"/>
    <w:rsid w:val="008E727D"/>
    <w:rsid w:val="008E7F98"/>
    <w:rsid w:val="008F11B2"/>
    <w:rsid w:val="008F171D"/>
    <w:rsid w:val="008F2461"/>
    <w:rsid w:val="008F3800"/>
    <w:rsid w:val="008F575F"/>
    <w:rsid w:val="008F5CBD"/>
    <w:rsid w:val="008F5F91"/>
    <w:rsid w:val="008F6395"/>
    <w:rsid w:val="008F7467"/>
    <w:rsid w:val="008F7F4F"/>
    <w:rsid w:val="00900102"/>
    <w:rsid w:val="00901530"/>
    <w:rsid w:val="009016BD"/>
    <w:rsid w:val="00901FBA"/>
    <w:rsid w:val="0090281F"/>
    <w:rsid w:val="00902EC2"/>
    <w:rsid w:val="009033BB"/>
    <w:rsid w:val="0090444C"/>
    <w:rsid w:val="00904740"/>
    <w:rsid w:val="009047C3"/>
    <w:rsid w:val="00906474"/>
    <w:rsid w:val="00906C2B"/>
    <w:rsid w:val="00910460"/>
    <w:rsid w:val="00910D41"/>
    <w:rsid w:val="009110F3"/>
    <w:rsid w:val="00911EC3"/>
    <w:rsid w:val="009124A3"/>
    <w:rsid w:val="00912664"/>
    <w:rsid w:val="009129DB"/>
    <w:rsid w:val="00913655"/>
    <w:rsid w:val="00913C8C"/>
    <w:rsid w:val="00913F1F"/>
    <w:rsid w:val="00915330"/>
    <w:rsid w:val="009217C0"/>
    <w:rsid w:val="009217E9"/>
    <w:rsid w:val="00921985"/>
    <w:rsid w:val="00922295"/>
    <w:rsid w:val="0092293A"/>
    <w:rsid w:val="00922E13"/>
    <w:rsid w:val="00923941"/>
    <w:rsid w:val="00924218"/>
    <w:rsid w:val="00924592"/>
    <w:rsid w:val="00926537"/>
    <w:rsid w:val="009269D1"/>
    <w:rsid w:val="009270D2"/>
    <w:rsid w:val="00927324"/>
    <w:rsid w:val="00927BEF"/>
    <w:rsid w:val="00927C65"/>
    <w:rsid w:val="00927ECA"/>
    <w:rsid w:val="00927EF4"/>
    <w:rsid w:val="00930988"/>
    <w:rsid w:val="00930E1A"/>
    <w:rsid w:val="00933541"/>
    <w:rsid w:val="00933E0C"/>
    <w:rsid w:val="009342BD"/>
    <w:rsid w:val="009354AF"/>
    <w:rsid w:val="00935CDE"/>
    <w:rsid w:val="00936D0C"/>
    <w:rsid w:val="00937B1E"/>
    <w:rsid w:val="0094119C"/>
    <w:rsid w:val="009413E5"/>
    <w:rsid w:val="0094378A"/>
    <w:rsid w:val="009437BD"/>
    <w:rsid w:val="00943E29"/>
    <w:rsid w:val="00944081"/>
    <w:rsid w:val="00944D46"/>
    <w:rsid w:val="009455D7"/>
    <w:rsid w:val="00945693"/>
    <w:rsid w:val="00945995"/>
    <w:rsid w:val="00945BC2"/>
    <w:rsid w:val="009471FC"/>
    <w:rsid w:val="0095237F"/>
    <w:rsid w:val="009528C8"/>
    <w:rsid w:val="009529F6"/>
    <w:rsid w:val="009537FE"/>
    <w:rsid w:val="00955201"/>
    <w:rsid w:val="00955470"/>
    <w:rsid w:val="009554E1"/>
    <w:rsid w:val="009555D5"/>
    <w:rsid w:val="00956448"/>
    <w:rsid w:val="00960952"/>
    <w:rsid w:val="0096138B"/>
    <w:rsid w:val="00961656"/>
    <w:rsid w:val="00961A5A"/>
    <w:rsid w:val="00964781"/>
    <w:rsid w:val="00965B8A"/>
    <w:rsid w:val="00967859"/>
    <w:rsid w:val="009702D1"/>
    <w:rsid w:val="009702ED"/>
    <w:rsid w:val="00970F4F"/>
    <w:rsid w:val="0097245B"/>
    <w:rsid w:val="009737EF"/>
    <w:rsid w:val="00973CB5"/>
    <w:rsid w:val="00974010"/>
    <w:rsid w:val="00976C5A"/>
    <w:rsid w:val="00976F31"/>
    <w:rsid w:val="0098000B"/>
    <w:rsid w:val="00980BD2"/>
    <w:rsid w:val="00982072"/>
    <w:rsid w:val="00982F94"/>
    <w:rsid w:val="00983932"/>
    <w:rsid w:val="00983C20"/>
    <w:rsid w:val="00985166"/>
    <w:rsid w:val="009851EB"/>
    <w:rsid w:val="00985248"/>
    <w:rsid w:val="00985B18"/>
    <w:rsid w:val="00985EC9"/>
    <w:rsid w:val="00987085"/>
    <w:rsid w:val="009873EC"/>
    <w:rsid w:val="009874E0"/>
    <w:rsid w:val="00987ADC"/>
    <w:rsid w:val="00990547"/>
    <w:rsid w:val="009914A4"/>
    <w:rsid w:val="009920C5"/>
    <w:rsid w:val="009926E5"/>
    <w:rsid w:val="00993329"/>
    <w:rsid w:val="009939F0"/>
    <w:rsid w:val="00994B57"/>
    <w:rsid w:val="00994EE5"/>
    <w:rsid w:val="00995979"/>
    <w:rsid w:val="00995F91"/>
    <w:rsid w:val="009966EB"/>
    <w:rsid w:val="00996B01"/>
    <w:rsid w:val="009A03AA"/>
    <w:rsid w:val="009A03DA"/>
    <w:rsid w:val="009A05B6"/>
    <w:rsid w:val="009A072E"/>
    <w:rsid w:val="009A0797"/>
    <w:rsid w:val="009A1086"/>
    <w:rsid w:val="009A1817"/>
    <w:rsid w:val="009A291B"/>
    <w:rsid w:val="009A38F0"/>
    <w:rsid w:val="009A3BA2"/>
    <w:rsid w:val="009A4DC9"/>
    <w:rsid w:val="009A4E4F"/>
    <w:rsid w:val="009A4ECA"/>
    <w:rsid w:val="009A5065"/>
    <w:rsid w:val="009A7303"/>
    <w:rsid w:val="009A7DE3"/>
    <w:rsid w:val="009B0854"/>
    <w:rsid w:val="009B179C"/>
    <w:rsid w:val="009B1B15"/>
    <w:rsid w:val="009B2DC5"/>
    <w:rsid w:val="009B352F"/>
    <w:rsid w:val="009B43C9"/>
    <w:rsid w:val="009B6218"/>
    <w:rsid w:val="009B6325"/>
    <w:rsid w:val="009B7293"/>
    <w:rsid w:val="009B7A24"/>
    <w:rsid w:val="009C01A4"/>
    <w:rsid w:val="009C1B2E"/>
    <w:rsid w:val="009C1E9C"/>
    <w:rsid w:val="009C40A9"/>
    <w:rsid w:val="009C4850"/>
    <w:rsid w:val="009C4EB4"/>
    <w:rsid w:val="009C4FD3"/>
    <w:rsid w:val="009C67BD"/>
    <w:rsid w:val="009C7215"/>
    <w:rsid w:val="009C772A"/>
    <w:rsid w:val="009D1DB0"/>
    <w:rsid w:val="009D25A0"/>
    <w:rsid w:val="009D26BB"/>
    <w:rsid w:val="009D2AB6"/>
    <w:rsid w:val="009D43A5"/>
    <w:rsid w:val="009D4DAF"/>
    <w:rsid w:val="009D5150"/>
    <w:rsid w:val="009D60F9"/>
    <w:rsid w:val="009E0109"/>
    <w:rsid w:val="009E0BC8"/>
    <w:rsid w:val="009E120E"/>
    <w:rsid w:val="009E2E76"/>
    <w:rsid w:val="009E426A"/>
    <w:rsid w:val="009E511A"/>
    <w:rsid w:val="009E58AE"/>
    <w:rsid w:val="009E6676"/>
    <w:rsid w:val="009E7682"/>
    <w:rsid w:val="009F027B"/>
    <w:rsid w:val="009F12A4"/>
    <w:rsid w:val="009F16CA"/>
    <w:rsid w:val="009F1DE5"/>
    <w:rsid w:val="009F3284"/>
    <w:rsid w:val="009F4027"/>
    <w:rsid w:val="009F5788"/>
    <w:rsid w:val="009F70CB"/>
    <w:rsid w:val="00A007F0"/>
    <w:rsid w:val="00A017E6"/>
    <w:rsid w:val="00A02433"/>
    <w:rsid w:val="00A02B37"/>
    <w:rsid w:val="00A02B7D"/>
    <w:rsid w:val="00A02D01"/>
    <w:rsid w:val="00A02EAE"/>
    <w:rsid w:val="00A03913"/>
    <w:rsid w:val="00A05336"/>
    <w:rsid w:val="00A05756"/>
    <w:rsid w:val="00A05C60"/>
    <w:rsid w:val="00A05EF9"/>
    <w:rsid w:val="00A07189"/>
    <w:rsid w:val="00A07962"/>
    <w:rsid w:val="00A10BD5"/>
    <w:rsid w:val="00A13F58"/>
    <w:rsid w:val="00A14291"/>
    <w:rsid w:val="00A15C80"/>
    <w:rsid w:val="00A16F47"/>
    <w:rsid w:val="00A20358"/>
    <w:rsid w:val="00A233DF"/>
    <w:rsid w:val="00A253DD"/>
    <w:rsid w:val="00A25825"/>
    <w:rsid w:val="00A258D2"/>
    <w:rsid w:val="00A259A3"/>
    <w:rsid w:val="00A26E0F"/>
    <w:rsid w:val="00A27966"/>
    <w:rsid w:val="00A30637"/>
    <w:rsid w:val="00A326D6"/>
    <w:rsid w:val="00A344D6"/>
    <w:rsid w:val="00A34EB3"/>
    <w:rsid w:val="00A3524A"/>
    <w:rsid w:val="00A36327"/>
    <w:rsid w:val="00A36A71"/>
    <w:rsid w:val="00A37B2F"/>
    <w:rsid w:val="00A4254D"/>
    <w:rsid w:val="00A42AB4"/>
    <w:rsid w:val="00A43D74"/>
    <w:rsid w:val="00A44211"/>
    <w:rsid w:val="00A45042"/>
    <w:rsid w:val="00A451C4"/>
    <w:rsid w:val="00A46092"/>
    <w:rsid w:val="00A4680D"/>
    <w:rsid w:val="00A46E22"/>
    <w:rsid w:val="00A506F2"/>
    <w:rsid w:val="00A507A0"/>
    <w:rsid w:val="00A50D98"/>
    <w:rsid w:val="00A524BD"/>
    <w:rsid w:val="00A532B4"/>
    <w:rsid w:val="00A53CD2"/>
    <w:rsid w:val="00A53EE4"/>
    <w:rsid w:val="00A53FD6"/>
    <w:rsid w:val="00A5445B"/>
    <w:rsid w:val="00A54CA1"/>
    <w:rsid w:val="00A553E5"/>
    <w:rsid w:val="00A5573B"/>
    <w:rsid w:val="00A56128"/>
    <w:rsid w:val="00A56181"/>
    <w:rsid w:val="00A56C23"/>
    <w:rsid w:val="00A56CCA"/>
    <w:rsid w:val="00A608AC"/>
    <w:rsid w:val="00A614FC"/>
    <w:rsid w:val="00A62673"/>
    <w:rsid w:val="00A62FF3"/>
    <w:rsid w:val="00A63733"/>
    <w:rsid w:val="00A638B4"/>
    <w:rsid w:val="00A63980"/>
    <w:rsid w:val="00A63EA1"/>
    <w:rsid w:val="00A63EB1"/>
    <w:rsid w:val="00A6444A"/>
    <w:rsid w:val="00A67DB2"/>
    <w:rsid w:val="00A72F38"/>
    <w:rsid w:val="00A73112"/>
    <w:rsid w:val="00A734F2"/>
    <w:rsid w:val="00A737F1"/>
    <w:rsid w:val="00A746CB"/>
    <w:rsid w:val="00A754A4"/>
    <w:rsid w:val="00A75CC3"/>
    <w:rsid w:val="00A75DDA"/>
    <w:rsid w:val="00A76061"/>
    <w:rsid w:val="00A76329"/>
    <w:rsid w:val="00A76B6C"/>
    <w:rsid w:val="00A778D6"/>
    <w:rsid w:val="00A778E5"/>
    <w:rsid w:val="00A77974"/>
    <w:rsid w:val="00A823AB"/>
    <w:rsid w:val="00A823E1"/>
    <w:rsid w:val="00A83053"/>
    <w:rsid w:val="00A8471D"/>
    <w:rsid w:val="00A8580C"/>
    <w:rsid w:val="00A86148"/>
    <w:rsid w:val="00A86C09"/>
    <w:rsid w:val="00A86F73"/>
    <w:rsid w:val="00A909D7"/>
    <w:rsid w:val="00A92E36"/>
    <w:rsid w:val="00A93024"/>
    <w:rsid w:val="00A93C37"/>
    <w:rsid w:val="00A94674"/>
    <w:rsid w:val="00A95DCC"/>
    <w:rsid w:val="00A96F11"/>
    <w:rsid w:val="00A9766C"/>
    <w:rsid w:val="00AA0306"/>
    <w:rsid w:val="00AA1352"/>
    <w:rsid w:val="00AA1916"/>
    <w:rsid w:val="00AA2979"/>
    <w:rsid w:val="00AA330F"/>
    <w:rsid w:val="00AA34C5"/>
    <w:rsid w:val="00AA5376"/>
    <w:rsid w:val="00AA5897"/>
    <w:rsid w:val="00AA5FB3"/>
    <w:rsid w:val="00AA61DF"/>
    <w:rsid w:val="00AA63D0"/>
    <w:rsid w:val="00AA6460"/>
    <w:rsid w:val="00AA69F4"/>
    <w:rsid w:val="00AB0B7C"/>
    <w:rsid w:val="00AB0BC0"/>
    <w:rsid w:val="00AB3C75"/>
    <w:rsid w:val="00AB428A"/>
    <w:rsid w:val="00AB457B"/>
    <w:rsid w:val="00AB5C60"/>
    <w:rsid w:val="00AB6CCF"/>
    <w:rsid w:val="00AC0221"/>
    <w:rsid w:val="00AC266E"/>
    <w:rsid w:val="00AC4726"/>
    <w:rsid w:val="00AC49ED"/>
    <w:rsid w:val="00AC51D9"/>
    <w:rsid w:val="00AC559A"/>
    <w:rsid w:val="00AC5636"/>
    <w:rsid w:val="00AC5714"/>
    <w:rsid w:val="00AC71B7"/>
    <w:rsid w:val="00AC733D"/>
    <w:rsid w:val="00AD0605"/>
    <w:rsid w:val="00AD27B6"/>
    <w:rsid w:val="00AD470E"/>
    <w:rsid w:val="00AD4CAF"/>
    <w:rsid w:val="00AD54BE"/>
    <w:rsid w:val="00AD5929"/>
    <w:rsid w:val="00AD6611"/>
    <w:rsid w:val="00AD7992"/>
    <w:rsid w:val="00AD7BED"/>
    <w:rsid w:val="00AE0866"/>
    <w:rsid w:val="00AE0933"/>
    <w:rsid w:val="00AE1607"/>
    <w:rsid w:val="00AE1B03"/>
    <w:rsid w:val="00AE290B"/>
    <w:rsid w:val="00AE428E"/>
    <w:rsid w:val="00AE4F77"/>
    <w:rsid w:val="00AE5787"/>
    <w:rsid w:val="00AE61DE"/>
    <w:rsid w:val="00AE6AF4"/>
    <w:rsid w:val="00AF068A"/>
    <w:rsid w:val="00AF0E97"/>
    <w:rsid w:val="00AF1FE5"/>
    <w:rsid w:val="00AF2188"/>
    <w:rsid w:val="00AF2D71"/>
    <w:rsid w:val="00AF3D6B"/>
    <w:rsid w:val="00AF40E8"/>
    <w:rsid w:val="00AF4377"/>
    <w:rsid w:val="00AF728B"/>
    <w:rsid w:val="00AF758E"/>
    <w:rsid w:val="00AF7AC4"/>
    <w:rsid w:val="00B00910"/>
    <w:rsid w:val="00B00DE9"/>
    <w:rsid w:val="00B0100A"/>
    <w:rsid w:val="00B03497"/>
    <w:rsid w:val="00B035E4"/>
    <w:rsid w:val="00B039FD"/>
    <w:rsid w:val="00B041E6"/>
    <w:rsid w:val="00B04212"/>
    <w:rsid w:val="00B046B6"/>
    <w:rsid w:val="00B04D6C"/>
    <w:rsid w:val="00B06C3C"/>
    <w:rsid w:val="00B070CC"/>
    <w:rsid w:val="00B075AF"/>
    <w:rsid w:val="00B11443"/>
    <w:rsid w:val="00B13A6B"/>
    <w:rsid w:val="00B13EB5"/>
    <w:rsid w:val="00B13F31"/>
    <w:rsid w:val="00B14985"/>
    <w:rsid w:val="00B15C39"/>
    <w:rsid w:val="00B15CA2"/>
    <w:rsid w:val="00B17362"/>
    <w:rsid w:val="00B20BA1"/>
    <w:rsid w:val="00B21A4D"/>
    <w:rsid w:val="00B228FB"/>
    <w:rsid w:val="00B2359F"/>
    <w:rsid w:val="00B235E6"/>
    <w:rsid w:val="00B23FCA"/>
    <w:rsid w:val="00B23FEA"/>
    <w:rsid w:val="00B248EB"/>
    <w:rsid w:val="00B24BA9"/>
    <w:rsid w:val="00B260A2"/>
    <w:rsid w:val="00B2749F"/>
    <w:rsid w:val="00B277A2"/>
    <w:rsid w:val="00B27D12"/>
    <w:rsid w:val="00B30555"/>
    <w:rsid w:val="00B31C92"/>
    <w:rsid w:val="00B32B6B"/>
    <w:rsid w:val="00B32D57"/>
    <w:rsid w:val="00B32E12"/>
    <w:rsid w:val="00B3429C"/>
    <w:rsid w:val="00B345CE"/>
    <w:rsid w:val="00B3590F"/>
    <w:rsid w:val="00B35BD7"/>
    <w:rsid w:val="00B35E69"/>
    <w:rsid w:val="00B363E0"/>
    <w:rsid w:val="00B366F3"/>
    <w:rsid w:val="00B37F45"/>
    <w:rsid w:val="00B41E6F"/>
    <w:rsid w:val="00B42069"/>
    <w:rsid w:val="00B43ED1"/>
    <w:rsid w:val="00B44639"/>
    <w:rsid w:val="00B4488D"/>
    <w:rsid w:val="00B45DEA"/>
    <w:rsid w:val="00B4662A"/>
    <w:rsid w:val="00B47057"/>
    <w:rsid w:val="00B471C3"/>
    <w:rsid w:val="00B47313"/>
    <w:rsid w:val="00B47DCC"/>
    <w:rsid w:val="00B47EBE"/>
    <w:rsid w:val="00B5051F"/>
    <w:rsid w:val="00B54055"/>
    <w:rsid w:val="00B54128"/>
    <w:rsid w:val="00B54333"/>
    <w:rsid w:val="00B54915"/>
    <w:rsid w:val="00B54945"/>
    <w:rsid w:val="00B54AD2"/>
    <w:rsid w:val="00B5538C"/>
    <w:rsid w:val="00B579E4"/>
    <w:rsid w:val="00B607EB"/>
    <w:rsid w:val="00B60CA6"/>
    <w:rsid w:val="00B60D9F"/>
    <w:rsid w:val="00B61025"/>
    <w:rsid w:val="00B61371"/>
    <w:rsid w:val="00B618A6"/>
    <w:rsid w:val="00B61D66"/>
    <w:rsid w:val="00B630C7"/>
    <w:rsid w:val="00B63E0B"/>
    <w:rsid w:val="00B65609"/>
    <w:rsid w:val="00B65F55"/>
    <w:rsid w:val="00B66357"/>
    <w:rsid w:val="00B71A61"/>
    <w:rsid w:val="00B71C22"/>
    <w:rsid w:val="00B7315D"/>
    <w:rsid w:val="00B7596E"/>
    <w:rsid w:val="00B75C17"/>
    <w:rsid w:val="00B76EA4"/>
    <w:rsid w:val="00B7720A"/>
    <w:rsid w:val="00B779B6"/>
    <w:rsid w:val="00B818B8"/>
    <w:rsid w:val="00B8281A"/>
    <w:rsid w:val="00B82A92"/>
    <w:rsid w:val="00B82E85"/>
    <w:rsid w:val="00B83B8D"/>
    <w:rsid w:val="00B84C63"/>
    <w:rsid w:val="00B85676"/>
    <w:rsid w:val="00B862D9"/>
    <w:rsid w:val="00B8759A"/>
    <w:rsid w:val="00B901E1"/>
    <w:rsid w:val="00B90843"/>
    <w:rsid w:val="00B91224"/>
    <w:rsid w:val="00B91582"/>
    <w:rsid w:val="00B9169A"/>
    <w:rsid w:val="00B927B0"/>
    <w:rsid w:val="00B927B8"/>
    <w:rsid w:val="00B92C14"/>
    <w:rsid w:val="00B93770"/>
    <w:rsid w:val="00B947B5"/>
    <w:rsid w:val="00B94D63"/>
    <w:rsid w:val="00B9546E"/>
    <w:rsid w:val="00BA1366"/>
    <w:rsid w:val="00BA14A7"/>
    <w:rsid w:val="00BA216A"/>
    <w:rsid w:val="00BA24BF"/>
    <w:rsid w:val="00BA3353"/>
    <w:rsid w:val="00BA7E7A"/>
    <w:rsid w:val="00BB1DCD"/>
    <w:rsid w:val="00BB38A5"/>
    <w:rsid w:val="00BB4D43"/>
    <w:rsid w:val="00BB5BA0"/>
    <w:rsid w:val="00BB607B"/>
    <w:rsid w:val="00BB66F6"/>
    <w:rsid w:val="00BB7F9A"/>
    <w:rsid w:val="00BC1CBE"/>
    <w:rsid w:val="00BC1D1B"/>
    <w:rsid w:val="00BC312F"/>
    <w:rsid w:val="00BC32F2"/>
    <w:rsid w:val="00BC3772"/>
    <w:rsid w:val="00BC3EE5"/>
    <w:rsid w:val="00BC4056"/>
    <w:rsid w:val="00BC5A4F"/>
    <w:rsid w:val="00BC5F4A"/>
    <w:rsid w:val="00BC62D6"/>
    <w:rsid w:val="00BC7F14"/>
    <w:rsid w:val="00BD0548"/>
    <w:rsid w:val="00BD141E"/>
    <w:rsid w:val="00BD2290"/>
    <w:rsid w:val="00BD3235"/>
    <w:rsid w:val="00BD3363"/>
    <w:rsid w:val="00BD34A3"/>
    <w:rsid w:val="00BD3541"/>
    <w:rsid w:val="00BD443F"/>
    <w:rsid w:val="00BD6A4D"/>
    <w:rsid w:val="00BD7D1F"/>
    <w:rsid w:val="00BD7DA2"/>
    <w:rsid w:val="00BD7EE3"/>
    <w:rsid w:val="00BE0628"/>
    <w:rsid w:val="00BE367A"/>
    <w:rsid w:val="00BE3B8D"/>
    <w:rsid w:val="00BE43B5"/>
    <w:rsid w:val="00BE4E82"/>
    <w:rsid w:val="00BE5D14"/>
    <w:rsid w:val="00BE5D3E"/>
    <w:rsid w:val="00BE62B9"/>
    <w:rsid w:val="00BE63C7"/>
    <w:rsid w:val="00BE77DA"/>
    <w:rsid w:val="00BE7AC6"/>
    <w:rsid w:val="00BF16CC"/>
    <w:rsid w:val="00BF1747"/>
    <w:rsid w:val="00BF21FB"/>
    <w:rsid w:val="00BF2322"/>
    <w:rsid w:val="00BF28A7"/>
    <w:rsid w:val="00BF3DA1"/>
    <w:rsid w:val="00BF5D2E"/>
    <w:rsid w:val="00BF608E"/>
    <w:rsid w:val="00BF641B"/>
    <w:rsid w:val="00BF64A1"/>
    <w:rsid w:val="00BF79DD"/>
    <w:rsid w:val="00BF7F2F"/>
    <w:rsid w:val="00BF7FA6"/>
    <w:rsid w:val="00C0128F"/>
    <w:rsid w:val="00C01376"/>
    <w:rsid w:val="00C018D6"/>
    <w:rsid w:val="00C01BBD"/>
    <w:rsid w:val="00C0258D"/>
    <w:rsid w:val="00C064B5"/>
    <w:rsid w:val="00C069B3"/>
    <w:rsid w:val="00C06DFD"/>
    <w:rsid w:val="00C105D9"/>
    <w:rsid w:val="00C10988"/>
    <w:rsid w:val="00C111B6"/>
    <w:rsid w:val="00C11C95"/>
    <w:rsid w:val="00C11D8E"/>
    <w:rsid w:val="00C1223E"/>
    <w:rsid w:val="00C15589"/>
    <w:rsid w:val="00C1560F"/>
    <w:rsid w:val="00C15652"/>
    <w:rsid w:val="00C161BD"/>
    <w:rsid w:val="00C16212"/>
    <w:rsid w:val="00C16657"/>
    <w:rsid w:val="00C2151D"/>
    <w:rsid w:val="00C2287E"/>
    <w:rsid w:val="00C235D8"/>
    <w:rsid w:val="00C23ED5"/>
    <w:rsid w:val="00C23FC0"/>
    <w:rsid w:val="00C244A7"/>
    <w:rsid w:val="00C25A03"/>
    <w:rsid w:val="00C27B16"/>
    <w:rsid w:val="00C30989"/>
    <w:rsid w:val="00C30CEA"/>
    <w:rsid w:val="00C31089"/>
    <w:rsid w:val="00C31C8F"/>
    <w:rsid w:val="00C3267F"/>
    <w:rsid w:val="00C32713"/>
    <w:rsid w:val="00C32BBE"/>
    <w:rsid w:val="00C34705"/>
    <w:rsid w:val="00C363A3"/>
    <w:rsid w:val="00C364C9"/>
    <w:rsid w:val="00C36916"/>
    <w:rsid w:val="00C371DF"/>
    <w:rsid w:val="00C405DB"/>
    <w:rsid w:val="00C41B07"/>
    <w:rsid w:val="00C420CF"/>
    <w:rsid w:val="00C423BE"/>
    <w:rsid w:val="00C4295B"/>
    <w:rsid w:val="00C42C7E"/>
    <w:rsid w:val="00C43865"/>
    <w:rsid w:val="00C43918"/>
    <w:rsid w:val="00C43B7B"/>
    <w:rsid w:val="00C43DE9"/>
    <w:rsid w:val="00C440F0"/>
    <w:rsid w:val="00C44EA2"/>
    <w:rsid w:val="00C451A3"/>
    <w:rsid w:val="00C45A3D"/>
    <w:rsid w:val="00C4648A"/>
    <w:rsid w:val="00C47861"/>
    <w:rsid w:val="00C50685"/>
    <w:rsid w:val="00C512EF"/>
    <w:rsid w:val="00C51A69"/>
    <w:rsid w:val="00C52D5D"/>
    <w:rsid w:val="00C53CD7"/>
    <w:rsid w:val="00C54BB0"/>
    <w:rsid w:val="00C576B8"/>
    <w:rsid w:val="00C57B0D"/>
    <w:rsid w:val="00C601F3"/>
    <w:rsid w:val="00C623ED"/>
    <w:rsid w:val="00C6244B"/>
    <w:rsid w:val="00C62652"/>
    <w:rsid w:val="00C63164"/>
    <w:rsid w:val="00C64CCD"/>
    <w:rsid w:val="00C65F20"/>
    <w:rsid w:val="00C65FF0"/>
    <w:rsid w:val="00C66C88"/>
    <w:rsid w:val="00C66EE2"/>
    <w:rsid w:val="00C67248"/>
    <w:rsid w:val="00C674F4"/>
    <w:rsid w:val="00C70170"/>
    <w:rsid w:val="00C72698"/>
    <w:rsid w:val="00C74E4C"/>
    <w:rsid w:val="00C76911"/>
    <w:rsid w:val="00C81150"/>
    <w:rsid w:val="00C81897"/>
    <w:rsid w:val="00C820AD"/>
    <w:rsid w:val="00C82483"/>
    <w:rsid w:val="00C83783"/>
    <w:rsid w:val="00C83784"/>
    <w:rsid w:val="00C840C3"/>
    <w:rsid w:val="00C8641B"/>
    <w:rsid w:val="00C8676D"/>
    <w:rsid w:val="00C86AFB"/>
    <w:rsid w:val="00C86B80"/>
    <w:rsid w:val="00C9038D"/>
    <w:rsid w:val="00C910C3"/>
    <w:rsid w:val="00C95826"/>
    <w:rsid w:val="00C9786D"/>
    <w:rsid w:val="00C97D5E"/>
    <w:rsid w:val="00CA189C"/>
    <w:rsid w:val="00CA4413"/>
    <w:rsid w:val="00CA4E27"/>
    <w:rsid w:val="00CA5451"/>
    <w:rsid w:val="00CA60E3"/>
    <w:rsid w:val="00CA76CD"/>
    <w:rsid w:val="00CA7B5F"/>
    <w:rsid w:val="00CB0942"/>
    <w:rsid w:val="00CB0B4A"/>
    <w:rsid w:val="00CB138B"/>
    <w:rsid w:val="00CB2894"/>
    <w:rsid w:val="00CB2969"/>
    <w:rsid w:val="00CB3134"/>
    <w:rsid w:val="00CB39BF"/>
    <w:rsid w:val="00CB3E4E"/>
    <w:rsid w:val="00CB5595"/>
    <w:rsid w:val="00CB58AA"/>
    <w:rsid w:val="00CB5D8E"/>
    <w:rsid w:val="00CB5FC7"/>
    <w:rsid w:val="00CB63F5"/>
    <w:rsid w:val="00CB72E8"/>
    <w:rsid w:val="00CB74D9"/>
    <w:rsid w:val="00CB7FF9"/>
    <w:rsid w:val="00CC0DD5"/>
    <w:rsid w:val="00CC18E2"/>
    <w:rsid w:val="00CC1D2A"/>
    <w:rsid w:val="00CC377E"/>
    <w:rsid w:val="00CC3CCC"/>
    <w:rsid w:val="00CC418C"/>
    <w:rsid w:val="00CC437A"/>
    <w:rsid w:val="00CC5633"/>
    <w:rsid w:val="00CC5CF0"/>
    <w:rsid w:val="00CD12F9"/>
    <w:rsid w:val="00CD3E80"/>
    <w:rsid w:val="00CD5192"/>
    <w:rsid w:val="00CD5543"/>
    <w:rsid w:val="00CD5D32"/>
    <w:rsid w:val="00CE0EC4"/>
    <w:rsid w:val="00CE23B7"/>
    <w:rsid w:val="00CE2878"/>
    <w:rsid w:val="00CE2EBC"/>
    <w:rsid w:val="00CE7294"/>
    <w:rsid w:val="00CE7BFC"/>
    <w:rsid w:val="00CF10EC"/>
    <w:rsid w:val="00CF183F"/>
    <w:rsid w:val="00CF1EF9"/>
    <w:rsid w:val="00CF2190"/>
    <w:rsid w:val="00CF3F98"/>
    <w:rsid w:val="00CF412F"/>
    <w:rsid w:val="00CF479C"/>
    <w:rsid w:val="00CF5976"/>
    <w:rsid w:val="00CF66BA"/>
    <w:rsid w:val="00CF6BC8"/>
    <w:rsid w:val="00CF7110"/>
    <w:rsid w:val="00D00DF9"/>
    <w:rsid w:val="00D0210F"/>
    <w:rsid w:val="00D02BCB"/>
    <w:rsid w:val="00D03318"/>
    <w:rsid w:val="00D0388A"/>
    <w:rsid w:val="00D03C32"/>
    <w:rsid w:val="00D04852"/>
    <w:rsid w:val="00D04B8E"/>
    <w:rsid w:val="00D05F3C"/>
    <w:rsid w:val="00D0602D"/>
    <w:rsid w:val="00D06A13"/>
    <w:rsid w:val="00D07C0B"/>
    <w:rsid w:val="00D07F56"/>
    <w:rsid w:val="00D103EA"/>
    <w:rsid w:val="00D104BB"/>
    <w:rsid w:val="00D110D1"/>
    <w:rsid w:val="00D1197B"/>
    <w:rsid w:val="00D126EC"/>
    <w:rsid w:val="00D12B31"/>
    <w:rsid w:val="00D1325E"/>
    <w:rsid w:val="00D13472"/>
    <w:rsid w:val="00D1509D"/>
    <w:rsid w:val="00D150A5"/>
    <w:rsid w:val="00D158A9"/>
    <w:rsid w:val="00D176C7"/>
    <w:rsid w:val="00D202FA"/>
    <w:rsid w:val="00D20430"/>
    <w:rsid w:val="00D20879"/>
    <w:rsid w:val="00D213E2"/>
    <w:rsid w:val="00D21AE6"/>
    <w:rsid w:val="00D22A51"/>
    <w:rsid w:val="00D22CFF"/>
    <w:rsid w:val="00D23846"/>
    <w:rsid w:val="00D2468B"/>
    <w:rsid w:val="00D258AE"/>
    <w:rsid w:val="00D25F5F"/>
    <w:rsid w:val="00D26157"/>
    <w:rsid w:val="00D27722"/>
    <w:rsid w:val="00D27A8A"/>
    <w:rsid w:val="00D30318"/>
    <w:rsid w:val="00D31E48"/>
    <w:rsid w:val="00D322E1"/>
    <w:rsid w:val="00D33F85"/>
    <w:rsid w:val="00D341D2"/>
    <w:rsid w:val="00D35231"/>
    <w:rsid w:val="00D35325"/>
    <w:rsid w:val="00D356F3"/>
    <w:rsid w:val="00D362D4"/>
    <w:rsid w:val="00D36E92"/>
    <w:rsid w:val="00D40217"/>
    <w:rsid w:val="00D40897"/>
    <w:rsid w:val="00D40BAB"/>
    <w:rsid w:val="00D427E1"/>
    <w:rsid w:val="00D43164"/>
    <w:rsid w:val="00D4328E"/>
    <w:rsid w:val="00D44308"/>
    <w:rsid w:val="00D44426"/>
    <w:rsid w:val="00D44896"/>
    <w:rsid w:val="00D448B9"/>
    <w:rsid w:val="00D44966"/>
    <w:rsid w:val="00D45F74"/>
    <w:rsid w:val="00D47143"/>
    <w:rsid w:val="00D471B3"/>
    <w:rsid w:val="00D5002A"/>
    <w:rsid w:val="00D50F18"/>
    <w:rsid w:val="00D514D7"/>
    <w:rsid w:val="00D520AE"/>
    <w:rsid w:val="00D527C3"/>
    <w:rsid w:val="00D52BEC"/>
    <w:rsid w:val="00D5316F"/>
    <w:rsid w:val="00D53CF0"/>
    <w:rsid w:val="00D55065"/>
    <w:rsid w:val="00D55510"/>
    <w:rsid w:val="00D5740A"/>
    <w:rsid w:val="00D60111"/>
    <w:rsid w:val="00D60F0A"/>
    <w:rsid w:val="00D62CE1"/>
    <w:rsid w:val="00D631A1"/>
    <w:rsid w:val="00D63C2A"/>
    <w:rsid w:val="00D63F30"/>
    <w:rsid w:val="00D64157"/>
    <w:rsid w:val="00D651C7"/>
    <w:rsid w:val="00D66F77"/>
    <w:rsid w:val="00D67348"/>
    <w:rsid w:val="00D67F8E"/>
    <w:rsid w:val="00D71420"/>
    <w:rsid w:val="00D71853"/>
    <w:rsid w:val="00D726D1"/>
    <w:rsid w:val="00D73D4A"/>
    <w:rsid w:val="00D745C1"/>
    <w:rsid w:val="00D74AC6"/>
    <w:rsid w:val="00D750A6"/>
    <w:rsid w:val="00D75E74"/>
    <w:rsid w:val="00D77006"/>
    <w:rsid w:val="00D778E2"/>
    <w:rsid w:val="00D80639"/>
    <w:rsid w:val="00D817C1"/>
    <w:rsid w:val="00D8218D"/>
    <w:rsid w:val="00D824CE"/>
    <w:rsid w:val="00D82531"/>
    <w:rsid w:val="00D838EB"/>
    <w:rsid w:val="00D83AD2"/>
    <w:rsid w:val="00D858C5"/>
    <w:rsid w:val="00D86073"/>
    <w:rsid w:val="00D87860"/>
    <w:rsid w:val="00D878C7"/>
    <w:rsid w:val="00D91E42"/>
    <w:rsid w:val="00D95016"/>
    <w:rsid w:val="00D9557C"/>
    <w:rsid w:val="00D95848"/>
    <w:rsid w:val="00D95F2D"/>
    <w:rsid w:val="00D9669E"/>
    <w:rsid w:val="00D97102"/>
    <w:rsid w:val="00D9784D"/>
    <w:rsid w:val="00DA113F"/>
    <w:rsid w:val="00DA12F7"/>
    <w:rsid w:val="00DA1D3B"/>
    <w:rsid w:val="00DA3A20"/>
    <w:rsid w:val="00DA3F86"/>
    <w:rsid w:val="00DA4639"/>
    <w:rsid w:val="00DA5466"/>
    <w:rsid w:val="00DA68F8"/>
    <w:rsid w:val="00DA76D7"/>
    <w:rsid w:val="00DB00D0"/>
    <w:rsid w:val="00DB0233"/>
    <w:rsid w:val="00DB16A3"/>
    <w:rsid w:val="00DB201F"/>
    <w:rsid w:val="00DB2141"/>
    <w:rsid w:val="00DB268B"/>
    <w:rsid w:val="00DB28A7"/>
    <w:rsid w:val="00DB2C6F"/>
    <w:rsid w:val="00DB3B20"/>
    <w:rsid w:val="00DB502D"/>
    <w:rsid w:val="00DB5111"/>
    <w:rsid w:val="00DB6004"/>
    <w:rsid w:val="00DB6386"/>
    <w:rsid w:val="00DB66B7"/>
    <w:rsid w:val="00DC07BD"/>
    <w:rsid w:val="00DC14DB"/>
    <w:rsid w:val="00DC26B4"/>
    <w:rsid w:val="00DC28F5"/>
    <w:rsid w:val="00DC3026"/>
    <w:rsid w:val="00DC3293"/>
    <w:rsid w:val="00DC330F"/>
    <w:rsid w:val="00DC3632"/>
    <w:rsid w:val="00DC3729"/>
    <w:rsid w:val="00DC3D06"/>
    <w:rsid w:val="00DC45C5"/>
    <w:rsid w:val="00DC45D3"/>
    <w:rsid w:val="00DC46F5"/>
    <w:rsid w:val="00DC48E5"/>
    <w:rsid w:val="00DC4925"/>
    <w:rsid w:val="00DC5084"/>
    <w:rsid w:val="00DC51CA"/>
    <w:rsid w:val="00DC53DC"/>
    <w:rsid w:val="00DC5D16"/>
    <w:rsid w:val="00DC5E86"/>
    <w:rsid w:val="00DC6769"/>
    <w:rsid w:val="00DC684B"/>
    <w:rsid w:val="00DC6A20"/>
    <w:rsid w:val="00DC7299"/>
    <w:rsid w:val="00DC74B7"/>
    <w:rsid w:val="00DD0C73"/>
    <w:rsid w:val="00DD12DB"/>
    <w:rsid w:val="00DD227F"/>
    <w:rsid w:val="00DD2621"/>
    <w:rsid w:val="00DD4563"/>
    <w:rsid w:val="00DD4753"/>
    <w:rsid w:val="00DD477C"/>
    <w:rsid w:val="00DD4B92"/>
    <w:rsid w:val="00DD4E31"/>
    <w:rsid w:val="00DD5395"/>
    <w:rsid w:val="00DD5A4A"/>
    <w:rsid w:val="00DD5F80"/>
    <w:rsid w:val="00DD6621"/>
    <w:rsid w:val="00DD6E1D"/>
    <w:rsid w:val="00DD6F86"/>
    <w:rsid w:val="00DE2E0F"/>
    <w:rsid w:val="00DE3049"/>
    <w:rsid w:val="00DE42A6"/>
    <w:rsid w:val="00DE4666"/>
    <w:rsid w:val="00DE4ED5"/>
    <w:rsid w:val="00DE5229"/>
    <w:rsid w:val="00DE5269"/>
    <w:rsid w:val="00DE5452"/>
    <w:rsid w:val="00DE6B46"/>
    <w:rsid w:val="00DE6F1E"/>
    <w:rsid w:val="00DE73F3"/>
    <w:rsid w:val="00DE75D9"/>
    <w:rsid w:val="00DF0D05"/>
    <w:rsid w:val="00DF10A2"/>
    <w:rsid w:val="00DF1617"/>
    <w:rsid w:val="00DF1849"/>
    <w:rsid w:val="00DF26C1"/>
    <w:rsid w:val="00DF3A38"/>
    <w:rsid w:val="00DF4426"/>
    <w:rsid w:val="00DF4920"/>
    <w:rsid w:val="00DF5810"/>
    <w:rsid w:val="00DF605D"/>
    <w:rsid w:val="00E02CF2"/>
    <w:rsid w:val="00E04592"/>
    <w:rsid w:val="00E049A2"/>
    <w:rsid w:val="00E05DF2"/>
    <w:rsid w:val="00E06B2A"/>
    <w:rsid w:val="00E11081"/>
    <w:rsid w:val="00E118C0"/>
    <w:rsid w:val="00E11F7D"/>
    <w:rsid w:val="00E13273"/>
    <w:rsid w:val="00E163EA"/>
    <w:rsid w:val="00E17AAF"/>
    <w:rsid w:val="00E2082D"/>
    <w:rsid w:val="00E2168B"/>
    <w:rsid w:val="00E21E21"/>
    <w:rsid w:val="00E2375D"/>
    <w:rsid w:val="00E23B26"/>
    <w:rsid w:val="00E23CE0"/>
    <w:rsid w:val="00E24418"/>
    <w:rsid w:val="00E25DA8"/>
    <w:rsid w:val="00E26C79"/>
    <w:rsid w:val="00E277BF"/>
    <w:rsid w:val="00E2795E"/>
    <w:rsid w:val="00E3008B"/>
    <w:rsid w:val="00E30483"/>
    <w:rsid w:val="00E3096C"/>
    <w:rsid w:val="00E31C7F"/>
    <w:rsid w:val="00E32171"/>
    <w:rsid w:val="00E33013"/>
    <w:rsid w:val="00E35EB4"/>
    <w:rsid w:val="00E36403"/>
    <w:rsid w:val="00E37083"/>
    <w:rsid w:val="00E372CB"/>
    <w:rsid w:val="00E40766"/>
    <w:rsid w:val="00E40AC5"/>
    <w:rsid w:val="00E40C57"/>
    <w:rsid w:val="00E4107A"/>
    <w:rsid w:val="00E423EE"/>
    <w:rsid w:val="00E4263C"/>
    <w:rsid w:val="00E42DF3"/>
    <w:rsid w:val="00E430B3"/>
    <w:rsid w:val="00E44E6E"/>
    <w:rsid w:val="00E46811"/>
    <w:rsid w:val="00E46910"/>
    <w:rsid w:val="00E46E1E"/>
    <w:rsid w:val="00E4706B"/>
    <w:rsid w:val="00E47490"/>
    <w:rsid w:val="00E4788F"/>
    <w:rsid w:val="00E47904"/>
    <w:rsid w:val="00E47B71"/>
    <w:rsid w:val="00E47B8A"/>
    <w:rsid w:val="00E5091B"/>
    <w:rsid w:val="00E51852"/>
    <w:rsid w:val="00E51867"/>
    <w:rsid w:val="00E5227E"/>
    <w:rsid w:val="00E53411"/>
    <w:rsid w:val="00E53BC9"/>
    <w:rsid w:val="00E53CBE"/>
    <w:rsid w:val="00E5448E"/>
    <w:rsid w:val="00E56136"/>
    <w:rsid w:val="00E56612"/>
    <w:rsid w:val="00E5753F"/>
    <w:rsid w:val="00E601B9"/>
    <w:rsid w:val="00E602D0"/>
    <w:rsid w:val="00E609BE"/>
    <w:rsid w:val="00E617EF"/>
    <w:rsid w:val="00E6186D"/>
    <w:rsid w:val="00E61BCB"/>
    <w:rsid w:val="00E622D5"/>
    <w:rsid w:val="00E6383E"/>
    <w:rsid w:val="00E64274"/>
    <w:rsid w:val="00E64A31"/>
    <w:rsid w:val="00E64E73"/>
    <w:rsid w:val="00E66702"/>
    <w:rsid w:val="00E66E1E"/>
    <w:rsid w:val="00E67482"/>
    <w:rsid w:val="00E70553"/>
    <w:rsid w:val="00E706B5"/>
    <w:rsid w:val="00E70B8A"/>
    <w:rsid w:val="00E732FB"/>
    <w:rsid w:val="00E76771"/>
    <w:rsid w:val="00E767B0"/>
    <w:rsid w:val="00E76CA9"/>
    <w:rsid w:val="00E773B5"/>
    <w:rsid w:val="00E776E9"/>
    <w:rsid w:val="00E77E7A"/>
    <w:rsid w:val="00E80607"/>
    <w:rsid w:val="00E808BE"/>
    <w:rsid w:val="00E829A1"/>
    <w:rsid w:val="00E82A21"/>
    <w:rsid w:val="00E8334A"/>
    <w:rsid w:val="00E83E4B"/>
    <w:rsid w:val="00E841A3"/>
    <w:rsid w:val="00E842FB"/>
    <w:rsid w:val="00E844A5"/>
    <w:rsid w:val="00E84B93"/>
    <w:rsid w:val="00E84E7D"/>
    <w:rsid w:val="00E8799B"/>
    <w:rsid w:val="00E917B6"/>
    <w:rsid w:val="00E92E5A"/>
    <w:rsid w:val="00E931D8"/>
    <w:rsid w:val="00E9367B"/>
    <w:rsid w:val="00E94374"/>
    <w:rsid w:val="00E94694"/>
    <w:rsid w:val="00E94769"/>
    <w:rsid w:val="00E96625"/>
    <w:rsid w:val="00EA02CA"/>
    <w:rsid w:val="00EA0EFF"/>
    <w:rsid w:val="00EA3590"/>
    <w:rsid w:val="00EA4A8E"/>
    <w:rsid w:val="00EA4BB2"/>
    <w:rsid w:val="00EA52A0"/>
    <w:rsid w:val="00EA6B26"/>
    <w:rsid w:val="00EA7459"/>
    <w:rsid w:val="00EA7B65"/>
    <w:rsid w:val="00EB00F3"/>
    <w:rsid w:val="00EB0235"/>
    <w:rsid w:val="00EB0F9F"/>
    <w:rsid w:val="00EB11B7"/>
    <w:rsid w:val="00EB1CE8"/>
    <w:rsid w:val="00EB2C22"/>
    <w:rsid w:val="00EB37D1"/>
    <w:rsid w:val="00EB3A19"/>
    <w:rsid w:val="00EB3B52"/>
    <w:rsid w:val="00EB4AE2"/>
    <w:rsid w:val="00EB4E8D"/>
    <w:rsid w:val="00EB5382"/>
    <w:rsid w:val="00EB5CFE"/>
    <w:rsid w:val="00EB673D"/>
    <w:rsid w:val="00EB6AE8"/>
    <w:rsid w:val="00EC0530"/>
    <w:rsid w:val="00EC1B93"/>
    <w:rsid w:val="00EC1D6F"/>
    <w:rsid w:val="00EC2156"/>
    <w:rsid w:val="00EC272B"/>
    <w:rsid w:val="00EC3C9E"/>
    <w:rsid w:val="00EC56BA"/>
    <w:rsid w:val="00EC6300"/>
    <w:rsid w:val="00EC6960"/>
    <w:rsid w:val="00EC6EB4"/>
    <w:rsid w:val="00ED08CB"/>
    <w:rsid w:val="00ED0F94"/>
    <w:rsid w:val="00ED27F1"/>
    <w:rsid w:val="00ED2926"/>
    <w:rsid w:val="00ED2E95"/>
    <w:rsid w:val="00ED3EEF"/>
    <w:rsid w:val="00ED4849"/>
    <w:rsid w:val="00ED5ED3"/>
    <w:rsid w:val="00ED6503"/>
    <w:rsid w:val="00ED67B1"/>
    <w:rsid w:val="00ED6BA5"/>
    <w:rsid w:val="00ED7388"/>
    <w:rsid w:val="00ED7D6E"/>
    <w:rsid w:val="00ED7E51"/>
    <w:rsid w:val="00EE0A93"/>
    <w:rsid w:val="00EE1F6C"/>
    <w:rsid w:val="00EE2144"/>
    <w:rsid w:val="00EE31DA"/>
    <w:rsid w:val="00EE432A"/>
    <w:rsid w:val="00EE4CB8"/>
    <w:rsid w:val="00EE4D7E"/>
    <w:rsid w:val="00EE4DED"/>
    <w:rsid w:val="00EE5CD4"/>
    <w:rsid w:val="00EE7EE5"/>
    <w:rsid w:val="00EF04F2"/>
    <w:rsid w:val="00EF081B"/>
    <w:rsid w:val="00EF0C31"/>
    <w:rsid w:val="00EF1A4A"/>
    <w:rsid w:val="00EF411A"/>
    <w:rsid w:val="00EF454C"/>
    <w:rsid w:val="00EF4B3C"/>
    <w:rsid w:val="00EF4FEF"/>
    <w:rsid w:val="00EF52A3"/>
    <w:rsid w:val="00EF56BF"/>
    <w:rsid w:val="00EF57E5"/>
    <w:rsid w:val="00EF5AA4"/>
    <w:rsid w:val="00EF6649"/>
    <w:rsid w:val="00EF6E78"/>
    <w:rsid w:val="00EF6FA4"/>
    <w:rsid w:val="00F01614"/>
    <w:rsid w:val="00F02280"/>
    <w:rsid w:val="00F023D7"/>
    <w:rsid w:val="00F02DEE"/>
    <w:rsid w:val="00F044BC"/>
    <w:rsid w:val="00F055A8"/>
    <w:rsid w:val="00F06A37"/>
    <w:rsid w:val="00F072E3"/>
    <w:rsid w:val="00F072F1"/>
    <w:rsid w:val="00F07C62"/>
    <w:rsid w:val="00F07EF0"/>
    <w:rsid w:val="00F10040"/>
    <w:rsid w:val="00F10571"/>
    <w:rsid w:val="00F10F2B"/>
    <w:rsid w:val="00F11E12"/>
    <w:rsid w:val="00F133A3"/>
    <w:rsid w:val="00F13F2F"/>
    <w:rsid w:val="00F1467C"/>
    <w:rsid w:val="00F146FF"/>
    <w:rsid w:val="00F17364"/>
    <w:rsid w:val="00F202D2"/>
    <w:rsid w:val="00F210EC"/>
    <w:rsid w:val="00F21EF9"/>
    <w:rsid w:val="00F221EC"/>
    <w:rsid w:val="00F22C01"/>
    <w:rsid w:val="00F23094"/>
    <w:rsid w:val="00F23196"/>
    <w:rsid w:val="00F232B7"/>
    <w:rsid w:val="00F234F2"/>
    <w:rsid w:val="00F23A76"/>
    <w:rsid w:val="00F27136"/>
    <w:rsid w:val="00F30D13"/>
    <w:rsid w:val="00F3181E"/>
    <w:rsid w:val="00F325C9"/>
    <w:rsid w:val="00F32A7F"/>
    <w:rsid w:val="00F3472F"/>
    <w:rsid w:val="00F34B64"/>
    <w:rsid w:val="00F3672C"/>
    <w:rsid w:val="00F3734B"/>
    <w:rsid w:val="00F37496"/>
    <w:rsid w:val="00F400B3"/>
    <w:rsid w:val="00F4039D"/>
    <w:rsid w:val="00F412D8"/>
    <w:rsid w:val="00F4141A"/>
    <w:rsid w:val="00F4202D"/>
    <w:rsid w:val="00F422AC"/>
    <w:rsid w:val="00F424D2"/>
    <w:rsid w:val="00F42DF8"/>
    <w:rsid w:val="00F43059"/>
    <w:rsid w:val="00F43B52"/>
    <w:rsid w:val="00F44211"/>
    <w:rsid w:val="00F45AB7"/>
    <w:rsid w:val="00F45E33"/>
    <w:rsid w:val="00F468BC"/>
    <w:rsid w:val="00F46B8E"/>
    <w:rsid w:val="00F51BAA"/>
    <w:rsid w:val="00F527BE"/>
    <w:rsid w:val="00F530CF"/>
    <w:rsid w:val="00F5372D"/>
    <w:rsid w:val="00F53B46"/>
    <w:rsid w:val="00F53C25"/>
    <w:rsid w:val="00F5496F"/>
    <w:rsid w:val="00F54ACC"/>
    <w:rsid w:val="00F54ADB"/>
    <w:rsid w:val="00F54E3F"/>
    <w:rsid w:val="00F550CE"/>
    <w:rsid w:val="00F55C18"/>
    <w:rsid w:val="00F56958"/>
    <w:rsid w:val="00F56C43"/>
    <w:rsid w:val="00F572EF"/>
    <w:rsid w:val="00F57454"/>
    <w:rsid w:val="00F60B3C"/>
    <w:rsid w:val="00F60FBD"/>
    <w:rsid w:val="00F6286A"/>
    <w:rsid w:val="00F62A9C"/>
    <w:rsid w:val="00F62D86"/>
    <w:rsid w:val="00F63A48"/>
    <w:rsid w:val="00F64126"/>
    <w:rsid w:val="00F65762"/>
    <w:rsid w:val="00F66DFC"/>
    <w:rsid w:val="00F724E0"/>
    <w:rsid w:val="00F738D9"/>
    <w:rsid w:val="00F73B49"/>
    <w:rsid w:val="00F751C2"/>
    <w:rsid w:val="00F75613"/>
    <w:rsid w:val="00F7729E"/>
    <w:rsid w:val="00F809F1"/>
    <w:rsid w:val="00F819F9"/>
    <w:rsid w:val="00F826F2"/>
    <w:rsid w:val="00F8273F"/>
    <w:rsid w:val="00F84EF3"/>
    <w:rsid w:val="00F859DC"/>
    <w:rsid w:val="00F86FB0"/>
    <w:rsid w:val="00F870ED"/>
    <w:rsid w:val="00F87D4E"/>
    <w:rsid w:val="00F87E89"/>
    <w:rsid w:val="00F9021D"/>
    <w:rsid w:val="00F914C7"/>
    <w:rsid w:val="00F920F2"/>
    <w:rsid w:val="00F9249D"/>
    <w:rsid w:val="00F92C8A"/>
    <w:rsid w:val="00F92C9A"/>
    <w:rsid w:val="00F93209"/>
    <w:rsid w:val="00F9333B"/>
    <w:rsid w:val="00F96885"/>
    <w:rsid w:val="00F96F9C"/>
    <w:rsid w:val="00F97831"/>
    <w:rsid w:val="00F97A6F"/>
    <w:rsid w:val="00FA0F77"/>
    <w:rsid w:val="00FA2126"/>
    <w:rsid w:val="00FA26A3"/>
    <w:rsid w:val="00FA3EE7"/>
    <w:rsid w:val="00FA3FE9"/>
    <w:rsid w:val="00FA4C47"/>
    <w:rsid w:val="00FA5855"/>
    <w:rsid w:val="00FA787C"/>
    <w:rsid w:val="00FB0413"/>
    <w:rsid w:val="00FB09CF"/>
    <w:rsid w:val="00FB1C68"/>
    <w:rsid w:val="00FB24FA"/>
    <w:rsid w:val="00FB298A"/>
    <w:rsid w:val="00FB2D75"/>
    <w:rsid w:val="00FB2DEB"/>
    <w:rsid w:val="00FB2F6B"/>
    <w:rsid w:val="00FB44C5"/>
    <w:rsid w:val="00FB57A1"/>
    <w:rsid w:val="00FB5A79"/>
    <w:rsid w:val="00FB62FB"/>
    <w:rsid w:val="00FB7142"/>
    <w:rsid w:val="00FB7D48"/>
    <w:rsid w:val="00FB7F3D"/>
    <w:rsid w:val="00FC0CE5"/>
    <w:rsid w:val="00FC1093"/>
    <w:rsid w:val="00FC1F53"/>
    <w:rsid w:val="00FC2029"/>
    <w:rsid w:val="00FC226B"/>
    <w:rsid w:val="00FC2D36"/>
    <w:rsid w:val="00FC339F"/>
    <w:rsid w:val="00FC3BB1"/>
    <w:rsid w:val="00FC3C10"/>
    <w:rsid w:val="00FC406A"/>
    <w:rsid w:val="00FC40BF"/>
    <w:rsid w:val="00FC61F0"/>
    <w:rsid w:val="00FC79F6"/>
    <w:rsid w:val="00FD022E"/>
    <w:rsid w:val="00FD02EC"/>
    <w:rsid w:val="00FD15F9"/>
    <w:rsid w:val="00FD1977"/>
    <w:rsid w:val="00FD1EA5"/>
    <w:rsid w:val="00FD2509"/>
    <w:rsid w:val="00FD4600"/>
    <w:rsid w:val="00FD4EB3"/>
    <w:rsid w:val="00FD53F9"/>
    <w:rsid w:val="00FD63F0"/>
    <w:rsid w:val="00FD6584"/>
    <w:rsid w:val="00FD6C9D"/>
    <w:rsid w:val="00FD7591"/>
    <w:rsid w:val="00FD7821"/>
    <w:rsid w:val="00FE1588"/>
    <w:rsid w:val="00FE254E"/>
    <w:rsid w:val="00FE29A9"/>
    <w:rsid w:val="00FE2A24"/>
    <w:rsid w:val="00FE3516"/>
    <w:rsid w:val="00FE37BA"/>
    <w:rsid w:val="00FE413D"/>
    <w:rsid w:val="00FE4406"/>
    <w:rsid w:val="00FE6E4E"/>
    <w:rsid w:val="00FE7820"/>
    <w:rsid w:val="00FE787E"/>
    <w:rsid w:val="00FE7FC3"/>
    <w:rsid w:val="00FF0C80"/>
    <w:rsid w:val="00FF0F60"/>
    <w:rsid w:val="00FF1A2F"/>
    <w:rsid w:val="00FF243F"/>
    <w:rsid w:val="00FF2845"/>
    <w:rsid w:val="00FF2F1F"/>
    <w:rsid w:val="00FF34F1"/>
    <w:rsid w:val="00FF3E07"/>
    <w:rsid w:val="00FF49F2"/>
    <w:rsid w:val="00FF5111"/>
    <w:rsid w:val="00FF7026"/>
    <w:rsid w:val="00FF7488"/>
    <w:rsid w:val="00FF7C5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Title" w:locked="1" w:semiHidden="0" w:uiPriority="10" w:unhideWhenUsed="0" w:qFormat="1"/>
    <w:lsdException w:name="Default Paragraph Font" w:uiPriority="1"/>
    <w:lsdException w:name="Subtitle" w:semiHidden="0" w:unhideWhenUsed="0" w:qFormat="1"/>
    <w:lsdException w:name="Strong" w:semiHidden="0" w:unhideWhenUsed="0" w:qFormat="1"/>
    <w:lsdException w:name="Emphasis" w:locked="1" w:semiHidden="0" w:uiPriority="20" w:unhideWhenUsed="0" w:qFormat="1"/>
    <w:lsdException w:name="Plain Text" w:uiPriority="0"/>
    <w:lsdException w:name="Table Classic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6F3B"/>
    <w:pPr>
      <w:suppressAutoHyphens/>
      <w:autoSpaceDE w:val="0"/>
      <w:spacing w:line="480" w:lineRule="auto"/>
      <w:jc w:val="both"/>
    </w:pPr>
    <w:rPr>
      <w:rFonts w:eastAsia="Advm1046a"/>
      <w:sz w:val="24"/>
      <w:szCs w:val="24"/>
      <w:lang w:eastAsia="ar-SA"/>
    </w:rPr>
  </w:style>
  <w:style w:type="paragraph" w:styleId="Titolo1">
    <w:name w:val="heading 1"/>
    <w:basedOn w:val="Normale"/>
    <w:next w:val="Normale"/>
    <w:link w:val="Titolo1Carattere"/>
    <w:uiPriority w:val="9"/>
    <w:qFormat/>
    <w:locked/>
    <w:rsid w:val="00EE4D7E"/>
    <w:pPr>
      <w:keepNext/>
      <w:keepLines/>
      <w:spacing w:before="480"/>
      <w:outlineLvl w:val="0"/>
    </w:pPr>
    <w:rPr>
      <w:rFonts w:ascii="Arial" w:eastAsia="Times New Roman" w:hAnsi="Arial"/>
      <w:b/>
      <w:bCs/>
      <w:color w:val="365F91"/>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E4D7E"/>
    <w:rPr>
      <w:rFonts w:ascii="Arial" w:eastAsia="Times New Roman" w:hAnsi="Arial" w:cs="Times New Roman"/>
      <w:b/>
      <w:bCs/>
      <w:color w:val="365F91"/>
      <w:sz w:val="28"/>
      <w:szCs w:val="28"/>
      <w:lang w:val="en-GB" w:eastAsia="ar-SA"/>
    </w:rPr>
  </w:style>
  <w:style w:type="paragraph" w:styleId="Sottotitolo">
    <w:name w:val="Subtitle"/>
    <w:basedOn w:val="Normale"/>
    <w:next w:val="Normale"/>
    <w:link w:val="SottotitoloCarattere"/>
    <w:uiPriority w:val="99"/>
    <w:qFormat/>
    <w:rsid w:val="00646F3B"/>
    <w:rPr>
      <w:rFonts w:ascii="Cambria" w:eastAsia="Times New Roman" w:hAnsi="Cambria"/>
    </w:rPr>
  </w:style>
  <w:style w:type="character" w:customStyle="1" w:styleId="SottotitoloCarattere">
    <w:name w:val="Sottotitolo Carattere"/>
    <w:basedOn w:val="Carpredefinitoparagrafo"/>
    <w:link w:val="Sottotitolo"/>
    <w:uiPriority w:val="99"/>
    <w:rsid w:val="00646F3B"/>
    <w:rPr>
      <w:rFonts w:ascii="Cambria" w:hAnsi="Cambria" w:cs="Times New Roman"/>
      <w:sz w:val="24"/>
      <w:szCs w:val="24"/>
      <w:lang w:val="en-GB" w:eastAsia="ar-SA" w:bidi="ar-SA"/>
    </w:rPr>
  </w:style>
  <w:style w:type="character" w:styleId="Enfasigrassetto">
    <w:name w:val="Strong"/>
    <w:basedOn w:val="Carpredefinitoparagrafo"/>
    <w:uiPriority w:val="99"/>
    <w:qFormat/>
    <w:rsid w:val="00646F3B"/>
    <w:rPr>
      <w:rFonts w:cs="Times New Roman"/>
      <w:b/>
      <w:bCs/>
    </w:rPr>
  </w:style>
  <w:style w:type="paragraph" w:styleId="Nessunaspaziatura">
    <w:name w:val="No Spacing"/>
    <w:uiPriority w:val="1"/>
    <w:qFormat/>
    <w:rsid w:val="00646F3B"/>
    <w:rPr>
      <w:sz w:val="22"/>
      <w:szCs w:val="22"/>
      <w:lang w:eastAsia="en-US"/>
    </w:rPr>
  </w:style>
  <w:style w:type="character" w:styleId="Collegamentoipertestuale">
    <w:name w:val="Hyperlink"/>
    <w:basedOn w:val="Carpredefinitoparagrafo"/>
    <w:uiPriority w:val="99"/>
    <w:unhideWhenUsed/>
    <w:rsid w:val="00B15CA2"/>
    <w:rPr>
      <w:color w:val="0000FF"/>
      <w:u w:val="single"/>
    </w:rPr>
  </w:style>
  <w:style w:type="paragraph" w:styleId="Testofumetto">
    <w:name w:val="Balloon Text"/>
    <w:basedOn w:val="Normale"/>
    <w:link w:val="TestofumettoCarattere"/>
    <w:uiPriority w:val="99"/>
    <w:unhideWhenUsed/>
    <w:rsid w:val="005B3E18"/>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5B3E18"/>
    <w:rPr>
      <w:rFonts w:ascii="Tahoma" w:eastAsia="Advm1046a" w:hAnsi="Tahoma" w:cs="Tahoma"/>
      <w:sz w:val="16"/>
      <w:szCs w:val="16"/>
      <w:lang w:val="en-GB" w:eastAsia="ar-SA"/>
    </w:rPr>
  </w:style>
  <w:style w:type="paragraph" w:styleId="Paragrafoelenco">
    <w:name w:val="List Paragraph"/>
    <w:basedOn w:val="Normale"/>
    <w:uiPriority w:val="1"/>
    <w:qFormat/>
    <w:rsid w:val="00016AC4"/>
    <w:pPr>
      <w:ind w:left="720"/>
      <w:contextualSpacing/>
    </w:pPr>
  </w:style>
  <w:style w:type="paragraph" w:customStyle="1" w:styleId="Testonormale1">
    <w:name w:val="Testo normale1"/>
    <w:basedOn w:val="Normale"/>
    <w:uiPriority w:val="99"/>
    <w:rsid w:val="00331A8E"/>
    <w:pPr>
      <w:jc w:val="left"/>
    </w:pPr>
    <w:rPr>
      <w:rFonts w:ascii="New York" w:hAnsi="New York" w:cs="New York"/>
      <w:sz w:val="20"/>
      <w:szCs w:val="20"/>
      <w:lang w:val="it-IT"/>
    </w:rPr>
  </w:style>
  <w:style w:type="character" w:customStyle="1" w:styleId="CarattereCarattere">
    <w:name w:val="Carattere Carattere"/>
    <w:basedOn w:val="Carpredefinitoparagrafo"/>
    <w:uiPriority w:val="99"/>
    <w:rsid w:val="000D6EE6"/>
    <w:rPr>
      <w:rFonts w:cs="Times New Roman"/>
      <w:sz w:val="24"/>
      <w:szCs w:val="24"/>
      <w:lang w:val="en-US"/>
    </w:rPr>
  </w:style>
  <w:style w:type="paragraph" w:styleId="Testonormale">
    <w:name w:val="Plain Text"/>
    <w:basedOn w:val="Normale"/>
    <w:link w:val="TestonormaleCarattere"/>
    <w:rsid w:val="000D6EE6"/>
    <w:pPr>
      <w:suppressAutoHyphens w:val="0"/>
      <w:jc w:val="left"/>
    </w:pPr>
    <w:rPr>
      <w:rFonts w:ascii="New York" w:hAnsi="New York" w:cs="New York"/>
      <w:sz w:val="20"/>
      <w:szCs w:val="20"/>
      <w:lang w:val="it-IT" w:eastAsia="it-IT"/>
    </w:rPr>
  </w:style>
  <w:style w:type="character" w:customStyle="1" w:styleId="TestonormaleCarattere">
    <w:name w:val="Testo normale Carattere"/>
    <w:basedOn w:val="Carpredefinitoparagrafo"/>
    <w:link w:val="Testonormale"/>
    <w:rsid w:val="000D6EE6"/>
    <w:rPr>
      <w:rFonts w:ascii="New York" w:eastAsia="Advm1046a" w:hAnsi="New York" w:cs="New York"/>
      <w:lang w:eastAsia="it-IT"/>
    </w:rPr>
  </w:style>
  <w:style w:type="character" w:customStyle="1" w:styleId="WW8Num1z0">
    <w:name w:val="WW8Num1z0"/>
    <w:uiPriority w:val="99"/>
    <w:rsid w:val="00910460"/>
    <w:rPr>
      <w:rFonts w:ascii="Symbol" w:hAnsi="Symbol"/>
      <w:sz w:val="20"/>
    </w:rPr>
  </w:style>
  <w:style w:type="character" w:customStyle="1" w:styleId="Carpredefinitoparagrafo3">
    <w:name w:val="Car. predefinito paragrafo3"/>
    <w:uiPriority w:val="99"/>
    <w:rsid w:val="00910460"/>
  </w:style>
  <w:style w:type="character" w:customStyle="1" w:styleId="Carpredefinitoparagrafo2">
    <w:name w:val="Car. predefinito paragrafo2"/>
    <w:uiPriority w:val="99"/>
    <w:rsid w:val="00910460"/>
  </w:style>
  <w:style w:type="character" w:customStyle="1" w:styleId="Absatz-Standardschriftart">
    <w:name w:val="Absatz-Standardschriftart"/>
    <w:uiPriority w:val="99"/>
    <w:rsid w:val="00910460"/>
  </w:style>
  <w:style w:type="character" w:customStyle="1" w:styleId="WW8Num1z1">
    <w:name w:val="WW8Num1z1"/>
    <w:uiPriority w:val="99"/>
    <w:rsid w:val="00910460"/>
    <w:rPr>
      <w:rFonts w:ascii="Courier New" w:hAnsi="Courier New"/>
      <w:sz w:val="20"/>
    </w:rPr>
  </w:style>
  <w:style w:type="character" w:customStyle="1" w:styleId="WW8Num1z2">
    <w:name w:val="WW8Num1z2"/>
    <w:uiPriority w:val="99"/>
    <w:rsid w:val="00910460"/>
    <w:rPr>
      <w:rFonts w:ascii="Wingdings" w:hAnsi="Wingdings"/>
      <w:sz w:val="20"/>
    </w:rPr>
  </w:style>
  <w:style w:type="character" w:customStyle="1" w:styleId="WW8Num2z0">
    <w:name w:val="WW8Num2z0"/>
    <w:uiPriority w:val="99"/>
    <w:rsid w:val="00910460"/>
    <w:rPr>
      <w:rFonts w:ascii="Courier New" w:hAnsi="Courier New"/>
    </w:rPr>
  </w:style>
  <w:style w:type="character" w:customStyle="1" w:styleId="WW8Num2z2">
    <w:name w:val="WW8Num2z2"/>
    <w:uiPriority w:val="99"/>
    <w:rsid w:val="00910460"/>
    <w:rPr>
      <w:rFonts w:ascii="Wingdings" w:hAnsi="Wingdings"/>
    </w:rPr>
  </w:style>
  <w:style w:type="character" w:customStyle="1" w:styleId="WW8Num2z3">
    <w:name w:val="WW8Num2z3"/>
    <w:uiPriority w:val="99"/>
    <w:rsid w:val="00910460"/>
    <w:rPr>
      <w:rFonts w:ascii="Symbol" w:hAnsi="Symbol"/>
    </w:rPr>
  </w:style>
  <w:style w:type="character" w:customStyle="1" w:styleId="WW8Num3z0">
    <w:name w:val="WW8Num3z0"/>
    <w:uiPriority w:val="99"/>
    <w:rsid w:val="00910460"/>
    <w:rPr>
      <w:rFonts w:ascii="Symbol" w:hAnsi="Symbol"/>
      <w:sz w:val="20"/>
    </w:rPr>
  </w:style>
  <w:style w:type="character" w:customStyle="1" w:styleId="WW8Num3z1">
    <w:name w:val="WW8Num3z1"/>
    <w:uiPriority w:val="99"/>
    <w:rsid w:val="00910460"/>
    <w:rPr>
      <w:rFonts w:ascii="Courier New" w:hAnsi="Courier New"/>
      <w:sz w:val="20"/>
    </w:rPr>
  </w:style>
  <w:style w:type="character" w:customStyle="1" w:styleId="WW8Num3z2">
    <w:name w:val="WW8Num3z2"/>
    <w:uiPriority w:val="99"/>
    <w:rsid w:val="00910460"/>
    <w:rPr>
      <w:rFonts w:ascii="Wingdings" w:hAnsi="Wingdings"/>
      <w:sz w:val="20"/>
    </w:rPr>
  </w:style>
  <w:style w:type="character" w:customStyle="1" w:styleId="Carpredefinitoparagrafo1">
    <w:name w:val="Car. predefinito paragrafo1"/>
    <w:uiPriority w:val="99"/>
    <w:rsid w:val="00910460"/>
  </w:style>
  <w:style w:type="character" w:customStyle="1" w:styleId="Caratteredellanota">
    <w:name w:val="Carattere della nota"/>
    <w:basedOn w:val="Carpredefinitoparagrafo1"/>
    <w:uiPriority w:val="99"/>
    <w:rsid w:val="00910460"/>
    <w:rPr>
      <w:rFonts w:cs="Times New Roman"/>
      <w:vertAlign w:val="superscript"/>
    </w:rPr>
  </w:style>
  <w:style w:type="character" w:customStyle="1" w:styleId="Rimandocommento1">
    <w:name w:val="Rimando commento1"/>
    <w:basedOn w:val="Carpredefinitoparagrafo1"/>
    <w:uiPriority w:val="99"/>
    <w:rsid w:val="00910460"/>
    <w:rPr>
      <w:rFonts w:cs="Times New Roman"/>
      <w:sz w:val="16"/>
      <w:szCs w:val="16"/>
    </w:rPr>
  </w:style>
  <w:style w:type="character" w:customStyle="1" w:styleId="title">
    <w:name w:val="title"/>
    <w:basedOn w:val="Carpredefinitoparagrafo1"/>
    <w:uiPriority w:val="99"/>
    <w:rsid w:val="00910460"/>
    <w:rPr>
      <w:rFonts w:cs="Times New Roman"/>
    </w:rPr>
  </w:style>
  <w:style w:type="character" w:customStyle="1" w:styleId="ital">
    <w:name w:val="ital"/>
    <w:basedOn w:val="Carpredefinitoparagrafo1"/>
    <w:uiPriority w:val="99"/>
    <w:rsid w:val="00910460"/>
    <w:rPr>
      <w:rFonts w:cs="Times New Roman"/>
    </w:rPr>
  </w:style>
  <w:style w:type="character" w:styleId="Numeropagina">
    <w:name w:val="page number"/>
    <w:basedOn w:val="Carpredefinitoparagrafo1"/>
    <w:uiPriority w:val="99"/>
    <w:rsid w:val="00910460"/>
    <w:rPr>
      <w:rFonts w:cs="Times New Roman"/>
    </w:rPr>
  </w:style>
  <w:style w:type="character" w:customStyle="1" w:styleId="journal">
    <w:name w:val="journal"/>
    <w:basedOn w:val="Carpredefinitoparagrafo1"/>
    <w:uiPriority w:val="99"/>
    <w:rsid w:val="00910460"/>
    <w:rPr>
      <w:rFonts w:cs="Times New Roman"/>
    </w:rPr>
  </w:style>
  <w:style w:type="character" w:customStyle="1" w:styleId="Rientrocorpodeltesto3Carattere">
    <w:name w:val="Rientro corpo del testo 3 Carattere"/>
    <w:basedOn w:val="Carpredefinitoparagrafo1"/>
    <w:uiPriority w:val="99"/>
    <w:rsid w:val="00910460"/>
    <w:rPr>
      <w:rFonts w:ascii="Times" w:hAnsi="Times" w:cs="Times"/>
      <w:color w:val="FF0000"/>
      <w:sz w:val="24"/>
      <w:szCs w:val="24"/>
      <w:lang w:val="it-IT" w:eastAsia="ar-SA" w:bidi="ar-SA"/>
    </w:rPr>
  </w:style>
  <w:style w:type="character" w:customStyle="1" w:styleId="bold">
    <w:name w:val="bold"/>
    <w:basedOn w:val="Carpredefinitoparagrafo1"/>
    <w:uiPriority w:val="99"/>
    <w:rsid w:val="00910460"/>
    <w:rPr>
      <w:rFonts w:cs="Times New Roman"/>
    </w:rPr>
  </w:style>
  <w:style w:type="character" w:customStyle="1" w:styleId="authors">
    <w:name w:val="authors"/>
    <w:basedOn w:val="Carpredefinitoparagrafo1"/>
    <w:uiPriority w:val="99"/>
    <w:rsid w:val="00910460"/>
    <w:rPr>
      <w:rFonts w:cs="Times New Roman"/>
    </w:rPr>
  </w:style>
  <w:style w:type="character" w:customStyle="1" w:styleId="year">
    <w:name w:val="year"/>
    <w:basedOn w:val="Carpredefinitoparagrafo1"/>
    <w:uiPriority w:val="99"/>
    <w:rsid w:val="00910460"/>
    <w:rPr>
      <w:rFonts w:cs="Times New Roman"/>
    </w:rPr>
  </w:style>
  <w:style w:type="character" w:customStyle="1" w:styleId="comma">
    <w:name w:val="comma"/>
    <w:basedOn w:val="Carpredefinitoparagrafo1"/>
    <w:uiPriority w:val="99"/>
    <w:rsid w:val="00910460"/>
    <w:rPr>
      <w:rFonts w:cs="Times New Roman"/>
    </w:rPr>
  </w:style>
  <w:style w:type="character" w:customStyle="1" w:styleId="doi">
    <w:name w:val="doi"/>
    <w:basedOn w:val="Carpredefinitoparagrafo1"/>
    <w:uiPriority w:val="99"/>
    <w:rsid w:val="00910460"/>
    <w:rPr>
      <w:rFonts w:cs="Times New Roman"/>
    </w:rPr>
  </w:style>
  <w:style w:type="character" w:styleId="Numeroriga">
    <w:name w:val="line number"/>
    <w:basedOn w:val="Carpredefinitoparagrafo1"/>
    <w:uiPriority w:val="99"/>
    <w:rsid w:val="00910460"/>
    <w:rPr>
      <w:rFonts w:cs="Times New Roman"/>
    </w:rPr>
  </w:style>
  <w:style w:type="character" w:customStyle="1" w:styleId="Caratteredinumerazione">
    <w:name w:val="Carattere di numerazione"/>
    <w:uiPriority w:val="99"/>
    <w:rsid w:val="00910460"/>
  </w:style>
  <w:style w:type="paragraph" w:customStyle="1" w:styleId="Intestazione3">
    <w:name w:val="Intestazione3"/>
    <w:basedOn w:val="Normale"/>
    <w:next w:val="Corpodeltesto"/>
    <w:uiPriority w:val="99"/>
    <w:rsid w:val="00910460"/>
    <w:pPr>
      <w:keepNext/>
      <w:spacing w:before="240" w:after="120"/>
    </w:pPr>
    <w:rPr>
      <w:rFonts w:ascii="Arial" w:eastAsia="MS Mincho" w:hAnsi="Arial" w:cs="Tahoma"/>
      <w:sz w:val="28"/>
      <w:szCs w:val="28"/>
    </w:rPr>
  </w:style>
  <w:style w:type="paragraph" w:styleId="Corpodeltesto">
    <w:name w:val="Body Text"/>
    <w:basedOn w:val="Normale"/>
    <w:link w:val="CorpodeltestoCarattere"/>
    <w:uiPriority w:val="99"/>
    <w:semiHidden/>
    <w:rsid w:val="00910460"/>
    <w:pPr>
      <w:spacing w:after="120"/>
    </w:pPr>
  </w:style>
  <w:style w:type="character" w:customStyle="1" w:styleId="CorpodeltestoCarattere">
    <w:name w:val="Corpo del testo Carattere"/>
    <w:basedOn w:val="Carpredefinitoparagrafo"/>
    <w:link w:val="Corpodeltesto"/>
    <w:uiPriority w:val="99"/>
    <w:semiHidden/>
    <w:rsid w:val="00910460"/>
    <w:rPr>
      <w:rFonts w:eastAsia="Advm1046a"/>
      <w:sz w:val="24"/>
      <w:szCs w:val="24"/>
      <w:lang w:val="en-GB" w:eastAsia="ar-SA"/>
    </w:rPr>
  </w:style>
  <w:style w:type="paragraph" w:styleId="Elenco">
    <w:name w:val="List"/>
    <w:basedOn w:val="Corpodeltesto"/>
    <w:uiPriority w:val="99"/>
    <w:semiHidden/>
    <w:rsid w:val="00910460"/>
    <w:rPr>
      <w:rFonts w:cs="Tahoma"/>
    </w:rPr>
  </w:style>
  <w:style w:type="paragraph" w:customStyle="1" w:styleId="Didascalia3">
    <w:name w:val="Didascalia3"/>
    <w:basedOn w:val="Normale"/>
    <w:uiPriority w:val="99"/>
    <w:rsid w:val="00910460"/>
    <w:pPr>
      <w:suppressLineNumbers/>
      <w:spacing w:before="120" w:after="120"/>
    </w:pPr>
    <w:rPr>
      <w:rFonts w:cs="Tahoma"/>
      <w:i/>
      <w:iCs/>
    </w:rPr>
  </w:style>
  <w:style w:type="paragraph" w:customStyle="1" w:styleId="Indice">
    <w:name w:val="Indice"/>
    <w:basedOn w:val="Normale"/>
    <w:uiPriority w:val="99"/>
    <w:rsid w:val="00910460"/>
    <w:pPr>
      <w:suppressLineNumbers/>
    </w:pPr>
    <w:rPr>
      <w:rFonts w:cs="Tahoma"/>
    </w:rPr>
  </w:style>
  <w:style w:type="paragraph" w:customStyle="1" w:styleId="Intestazione2">
    <w:name w:val="Intestazione2"/>
    <w:basedOn w:val="Normale"/>
    <w:next w:val="Corpodeltesto"/>
    <w:uiPriority w:val="99"/>
    <w:rsid w:val="00910460"/>
    <w:pPr>
      <w:keepNext/>
      <w:spacing w:before="240" w:after="120"/>
    </w:pPr>
    <w:rPr>
      <w:rFonts w:ascii="Arial" w:eastAsia="MS Mincho" w:hAnsi="Arial" w:cs="Tahoma"/>
      <w:sz w:val="28"/>
      <w:szCs w:val="28"/>
    </w:rPr>
  </w:style>
  <w:style w:type="paragraph" w:customStyle="1" w:styleId="Didascalia2">
    <w:name w:val="Didascalia2"/>
    <w:basedOn w:val="Normale"/>
    <w:uiPriority w:val="99"/>
    <w:rsid w:val="00910460"/>
    <w:pPr>
      <w:suppressLineNumbers/>
      <w:spacing w:before="120" w:after="120"/>
    </w:pPr>
    <w:rPr>
      <w:rFonts w:cs="Tahoma"/>
      <w:i/>
      <w:iCs/>
    </w:rPr>
  </w:style>
  <w:style w:type="paragraph" w:customStyle="1" w:styleId="Intestazione1">
    <w:name w:val="Intestazione1"/>
    <w:basedOn w:val="Normale"/>
    <w:next w:val="Corpodeltesto"/>
    <w:uiPriority w:val="99"/>
    <w:rsid w:val="00910460"/>
    <w:pPr>
      <w:keepNext/>
      <w:spacing w:before="240" w:after="120"/>
    </w:pPr>
    <w:rPr>
      <w:rFonts w:ascii="Arial" w:eastAsia="MS Mincho" w:hAnsi="Arial" w:cs="Tahoma"/>
      <w:sz w:val="28"/>
      <w:szCs w:val="28"/>
    </w:rPr>
  </w:style>
  <w:style w:type="paragraph" w:customStyle="1" w:styleId="Didascalia1">
    <w:name w:val="Didascalia1"/>
    <w:basedOn w:val="Normale"/>
    <w:uiPriority w:val="99"/>
    <w:rsid w:val="00910460"/>
    <w:pPr>
      <w:suppressLineNumbers/>
      <w:spacing w:before="120" w:after="120"/>
    </w:pPr>
    <w:rPr>
      <w:rFonts w:cs="Tahoma"/>
      <w:i/>
      <w:iCs/>
    </w:rPr>
  </w:style>
  <w:style w:type="paragraph" w:styleId="Testonotaapidipagina">
    <w:name w:val="footnote text"/>
    <w:basedOn w:val="Normale"/>
    <w:link w:val="TestonotaapidipaginaCarattere"/>
    <w:uiPriority w:val="99"/>
    <w:semiHidden/>
    <w:rsid w:val="00910460"/>
    <w:rPr>
      <w:sz w:val="20"/>
      <w:szCs w:val="20"/>
    </w:rPr>
  </w:style>
  <w:style w:type="character" w:customStyle="1" w:styleId="TestonotaapidipaginaCarattere">
    <w:name w:val="Testo nota a piè di pagina Carattere"/>
    <w:basedOn w:val="Carpredefinitoparagrafo"/>
    <w:link w:val="Testonotaapidipagina"/>
    <w:uiPriority w:val="99"/>
    <w:semiHidden/>
    <w:rsid w:val="00910460"/>
    <w:rPr>
      <w:rFonts w:eastAsia="Advm1046a"/>
      <w:lang w:val="en-GB" w:eastAsia="ar-SA"/>
    </w:rPr>
  </w:style>
  <w:style w:type="paragraph" w:customStyle="1" w:styleId="Testocommento1">
    <w:name w:val="Testo commento1"/>
    <w:basedOn w:val="Normale"/>
    <w:uiPriority w:val="99"/>
    <w:rsid w:val="00910460"/>
    <w:rPr>
      <w:sz w:val="20"/>
      <w:szCs w:val="20"/>
    </w:rPr>
  </w:style>
  <w:style w:type="paragraph" w:styleId="Testocommento">
    <w:name w:val="annotation text"/>
    <w:basedOn w:val="Normale"/>
    <w:link w:val="TestocommentoCarattere"/>
    <w:uiPriority w:val="99"/>
    <w:semiHidden/>
    <w:rsid w:val="00910460"/>
    <w:rPr>
      <w:sz w:val="20"/>
      <w:szCs w:val="20"/>
    </w:rPr>
  </w:style>
  <w:style w:type="character" w:customStyle="1" w:styleId="TestocommentoCarattere">
    <w:name w:val="Testo commento Carattere"/>
    <w:basedOn w:val="Carpredefinitoparagrafo"/>
    <w:link w:val="Testocommento"/>
    <w:uiPriority w:val="99"/>
    <w:semiHidden/>
    <w:rsid w:val="00910460"/>
    <w:rPr>
      <w:rFonts w:eastAsia="Advm1046a"/>
      <w:lang w:val="en-GB" w:eastAsia="ar-SA"/>
    </w:rPr>
  </w:style>
  <w:style w:type="paragraph" w:styleId="Soggettocommento">
    <w:name w:val="annotation subject"/>
    <w:basedOn w:val="Testocommento1"/>
    <w:next w:val="Testocommento1"/>
    <w:link w:val="SoggettocommentoCarattere"/>
    <w:uiPriority w:val="99"/>
    <w:rsid w:val="00910460"/>
    <w:rPr>
      <w:b/>
      <w:bCs/>
    </w:rPr>
  </w:style>
  <w:style w:type="character" w:customStyle="1" w:styleId="SoggettocommentoCarattere">
    <w:name w:val="Soggetto commento Carattere"/>
    <w:basedOn w:val="TestocommentoCarattere"/>
    <w:link w:val="Soggettocommento"/>
    <w:uiPriority w:val="99"/>
    <w:rsid w:val="00910460"/>
    <w:rPr>
      <w:b/>
      <w:bCs/>
    </w:rPr>
  </w:style>
  <w:style w:type="paragraph" w:styleId="PreformattatoHTML">
    <w:name w:val="HTML Preformatted"/>
    <w:basedOn w:val="Normale"/>
    <w:link w:val="PreformattatoHTMLCarattere"/>
    <w:uiPriority w:val="99"/>
    <w:rsid w:val="00910460"/>
    <w:rPr>
      <w:rFonts w:ascii="Courier New" w:hAnsi="Courier New" w:cs="Courier New"/>
      <w:sz w:val="20"/>
      <w:szCs w:val="20"/>
      <w:lang w:val="it-IT"/>
    </w:rPr>
  </w:style>
  <w:style w:type="character" w:customStyle="1" w:styleId="PreformattatoHTMLCarattere">
    <w:name w:val="Preformattato HTML Carattere"/>
    <w:basedOn w:val="Carpredefinitoparagrafo"/>
    <w:link w:val="PreformattatoHTML"/>
    <w:uiPriority w:val="99"/>
    <w:rsid w:val="00910460"/>
    <w:rPr>
      <w:rFonts w:ascii="Courier New" w:eastAsia="Advm1046a" w:hAnsi="Courier New" w:cs="Courier New"/>
      <w:lang w:eastAsia="ar-SA"/>
    </w:rPr>
  </w:style>
  <w:style w:type="paragraph" w:styleId="Pidipagina">
    <w:name w:val="footer"/>
    <w:basedOn w:val="Normale"/>
    <w:link w:val="PidipaginaCarattere"/>
    <w:uiPriority w:val="99"/>
    <w:rsid w:val="00910460"/>
  </w:style>
  <w:style w:type="character" w:customStyle="1" w:styleId="PidipaginaCarattere">
    <w:name w:val="Piè di pagina Carattere"/>
    <w:basedOn w:val="Carpredefinitoparagrafo"/>
    <w:link w:val="Pidipagina"/>
    <w:uiPriority w:val="99"/>
    <w:rsid w:val="00910460"/>
    <w:rPr>
      <w:rFonts w:eastAsia="Advm1046a"/>
      <w:sz w:val="24"/>
      <w:szCs w:val="24"/>
      <w:lang w:val="en-GB" w:eastAsia="ar-SA"/>
    </w:rPr>
  </w:style>
  <w:style w:type="paragraph" w:styleId="NormaleWeb">
    <w:name w:val="Normal (Web)"/>
    <w:basedOn w:val="Normale"/>
    <w:uiPriority w:val="99"/>
    <w:rsid w:val="00910460"/>
    <w:pPr>
      <w:spacing w:before="280" w:after="280"/>
    </w:pPr>
    <w:rPr>
      <w:lang w:val="it-IT"/>
    </w:rPr>
  </w:style>
  <w:style w:type="paragraph" w:customStyle="1" w:styleId="Rientrocorpodeltesto31">
    <w:name w:val="Rientro corpo del testo 31"/>
    <w:basedOn w:val="Normale"/>
    <w:uiPriority w:val="99"/>
    <w:rsid w:val="00910460"/>
    <w:pPr>
      <w:ind w:right="-23" w:firstLine="284"/>
    </w:pPr>
    <w:rPr>
      <w:rFonts w:ascii="Times" w:hAnsi="Times" w:cs="Times"/>
      <w:color w:val="FF0000"/>
      <w:lang w:val="it-IT"/>
    </w:rPr>
  </w:style>
  <w:style w:type="paragraph" w:styleId="Rientrocorpodeltesto">
    <w:name w:val="Body Text Indent"/>
    <w:basedOn w:val="Normale"/>
    <w:link w:val="RientrocorpodeltestoCarattere"/>
    <w:uiPriority w:val="99"/>
    <w:rsid w:val="00910460"/>
    <w:pPr>
      <w:spacing w:after="120"/>
      <w:ind w:left="283"/>
    </w:pPr>
  </w:style>
  <w:style w:type="character" w:customStyle="1" w:styleId="RientrocorpodeltestoCarattere">
    <w:name w:val="Rientro corpo del testo Carattere"/>
    <w:basedOn w:val="Carpredefinitoparagrafo"/>
    <w:link w:val="Rientrocorpodeltesto"/>
    <w:uiPriority w:val="99"/>
    <w:rsid w:val="00910460"/>
    <w:rPr>
      <w:rFonts w:eastAsia="Advm1046a"/>
      <w:sz w:val="24"/>
      <w:szCs w:val="24"/>
      <w:lang w:val="en-GB" w:eastAsia="ar-SA"/>
    </w:rPr>
  </w:style>
  <w:style w:type="paragraph" w:customStyle="1" w:styleId="Primorientrocorpodeltesto21">
    <w:name w:val="Primo rientro corpo del testo 21"/>
    <w:basedOn w:val="Rientrocorpodeltesto"/>
    <w:uiPriority w:val="99"/>
    <w:rsid w:val="00910460"/>
    <w:pPr>
      <w:ind w:firstLine="210"/>
    </w:pPr>
  </w:style>
  <w:style w:type="paragraph" w:customStyle="1" w:styleId="Contenutocornice">
    <w:name w:val="Contenuto cornice"/>
    <w:basedOn w:val="Corpodeltesto"/>
    <w:uiPriority w:val="99"/>
    <w:rsid w:val="00910460"/>
  </w:style>
  <w:style w:type="paragraph" w:customStyle="1" w:styleId="Contenutotabella">
    <w:name w:val="Contenuto tabella"/>
    <w:basedOn w:val="Normale"/>
    <w:uiPriority w:val="99"/>
    <w:rsid w:val="00910460"/>
    <w:pPr>
      <w:suppressLineNumbers/>
    </w:pPr>
  </w:style>
  <w:style w:type="paragraph" w:customStyle="1" w:styleId="Intestazionetabella">
    <w:name w:val="Intestazione tabella"/>
    <w:basedOn w:val="Contenutotabella"/>
    <w:uiPriority w:val="99"/>
    <w:rsid w:val="00910460"/>
    <w:pPr>
      <w:jc w:val="center"/>
    </w:pPr>
    <w:rPr>
      <w:b/>
      <w:bCs/>
    </w:rPr>
  </w:style>
  <w:style w:type="paragraph" w:customStyle="1" w:styleId="Testopreformattato">
    <w:name w:val="Testo preformattato"/>
    <w:basedOn w:val="Normale"/>
    <w:uiPriority w:val="99"/>
    <w:rsid w:val="00910460"/>
    <w:rPr>
      <w:rFonts w:ascii="Courier New" w:eastAsia="Times New Roman" w:hAnsi="Courier New" w:cs="Courier New"/>
      <w:sz w:val="20"/>
      <w:szCs w:val="20"/>
    </w:rPr>
  </w:style>
  <w:style w:type="paragraph" w:styleId="Intestazione">
    <w:name w:val="header"/>
    <w:basedOn w:val="Normale"/>
    <w:link w:val="IntestazioneCarattere"/>
    <w:uiPriority w:val="99"/>
    <w:rsid w:val="00910460"/>
    <w:pPr>
      <w:tabs>
        <w:tab w:val="center" w:pos="4819"/>
        <w:tab w:val="right" w:pos="9638"/>
      </w:tabs>
    </w:pPr>
  </w:style>
  <w:style w:type="character" w:customStyle="1" w:styleId="IntestazioneCarattere">
    <w:name w:val="Intestazione Carattere"/>
    <w:basedOn w:val="Carpredefinitoparagrafo"/>
    <w:link w:val="Intestazione"/>
    <w:uiPriority w:val="99"/>
    <w:rsid w:val="00910460"/>
    <w:rPr>
      <w:rFonts w:eastAsia="Advm1046a"/>
      <w:sz w:val="24"/>
      <w:szCs w:val="24"/>
      <w:lang w:val="en-GB" w:eastAsia="ar-SA"/>
    </w:rPr>
  </w:style>
  <w:style w:type="character" w:customStyle="1" w:styleId="textbigverde1">
    <w:name w:val="textbigverde1"/>
    <w:basedOn w:val="Carpredefinitoparagrafo"/>
    <w:uiPriority w:val="99"/>
    <w:rsid w:val="00910460"/>
    <w:rPr>
      <w:rFonts w:cs="Times New Roman"/>
      <w:b/>
      <w:bCs/>
      <w:color w:val="049460"/>
      <w:sz w:val="22"/>
      <w:szCs w:val="22"/>
    </w:rPr>
  </w:style>
  <w:style w:type="paragraph" w:styleId="Primorientrocorpodeltesto2">
    <w:name w:val="Body Text First Indent 2"/>
    <w:basedOn w:val="Rientrocorpodeltesto"/>
    <w:link w:val="Primorientrocorpodeltesto2Carattere"/>
    <w:uiPriority w:val="99"/>
    <w:rsid w:val="00910460"/>
    <w:pPr>
      <w:suppressAutoHyphens w:val="0"/>
      <w:autoSpaceDE/>
      <w:spacing w:line="240" w:lineRule="auto"/>
      <w:ind w:firstLine="210"/>
      <w:jc w:val="left"/>
    </w:pPr>
    <w:rPr>
      <w:rFonts w:eastAsia="Times New Roman"/>
      <w:lang w:eastAsia="it-IT"/>
    </w:rPr>
  </w:style>
  <w:style w:type="character" w:customStyle="1" w:styleId="Primorientrocorpodeltesto2Carattere">
    <w:name w:val="Primo rientro corpo del testo 2 Carattere"/>
    <w:basedOn w:val="RientrocorpodeltestoCarattere"/>
    <w:link w:val="Primorientrocorpodeltesto2"/>
    <w:uiPriority w:val="99"/>
    <w:rsid w:val="00910460"/>
    <w:rPr>
      <w:rFonts w:eastAsia="Times New Roman"/>
      <w:lang w:eastAsia="it-IT"/>
    </w:rPr>
  </w:style>
  <w:style w:type="character" w:customStyle="1" w:styleId="listaordinirich1">
    <w:name w:val="listaordini_rich1"/>
    <w:basedOn w:val="Carpredefinitoparagrafo"/>
    <w:uiPriority w:val="99"/>
    <w:rsid w:val="00910460"/>
    <w:rPr>
      <w:rFonts w:ascii="Verdana" w:hAnsi="Verdana" w:cs="Times New Roman"/>
      <w:color w:val="993366"/>
      <w:sz w:val="17"/>
      <w:szCs w:val="17"/>
      <w:u w:val="none"/>
      <w:effect w:val="none"/>
    </w:rPr>
  </w:style>
  <w:style w:type="character" w:customStyle="1" w:styleId="info1">
    <w:name w:val="info1"/>
    <w:basedOn w:val="Carpredefinitoparagrafo"/>
    <w:uiPriority w:val="99"/>
    <w:rsid w:val="00910460"/>
    <w:rPr>
      <w:rFonts w:ascii="Verdana" w:hAnsi="Verdana" w:cs="Times New Roman"/>
      <w:b/>
      <w:bCs/>
      <w:color w:val="000000"/>
      <w:sz w:val="20"/>
      <w:szCs w:val="20"/>
      <w:u w:val="none"/>
      <w:effect w:val="none"/>
    </w:rPr>
  </w:style>
  <w:style w:type="paragraph" w:styleId="Revisione">
    <w:name w:val="Revision"/>
    <w:hidden/>
    <w:uiPriority w:val="99"/>
    <w:semiHidden/>
    <w:rsid w:val="00910460"/>
    <w:rPr>
      <w:rFonts w:eastAsia="Advm1046a"/>
      <w:sz w:val="24"/>
      <w:szCs w:val="24"/>
      <w:lang w:eastAsia="ar-SA"/>
    </w:rPr>
  </w:style>
  <w:style w:type="character" w:customStyle="1" w:styleId="reference-text">
    <w:name w:val="reference-text"/>
    <w:basedOn w:val="Carpredefinitoparagrafo"/>
    <w:rsid w:val="00910460"/>
  </w:style>
  <w:style w:type="table" w:styleId="Grigliatabella">
    <w:name w:val="Table Grid"/>
    <w:basedOn w:val="Tabellanormale"/>
    <w:rsid w:val="0020740D"/>
    <w:rPr>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laclassica1">
    <w:name w:val="Table Classic 1"/>
    <w:basedOn w:val="Tabellanormale"/>
    <w:rsid w:val="0020740D"/>
    <w:rPr>
      <w:lang w:eastAsia="it-I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dascalia">
    <w:name w:val="caption"/>
    <w:basedOn w:val="Normale"/>
    <w:next w:val="Normale"/>
    <w:uiPriority w:val="35"/>
    <w:unhideWhenUsed/>
    <w:qFormat/>
    <w:locked/>
    <w:rsid w:val="00E05DF2"/>
    <w:pPr>
      <w:spacing w:after="200" w:line="240" w:lineRule="auto"/>
    </w:pPr>
    <w:rPr>
      <w:b/>
      <w:bCs/>
      <w:color w:val="4F81BD"/>
      <w:sz w:val="18"/>
      <w:szCs w:val="18"/>
    </w:rPr>
  </w:style>
  <w:style w:type="character" w:styleId="Rimandonotaapidipagina">
    <w:name w:val="footnote reference"/>
    <w:basedOn w:val="Carpredefinitoparagrafo"/>
    <w:uiPriority w:val="99"/>
    <w:semiHidden/>
    <w:unhideWhenUsed/>
    <w:rsid w:val="00381583"/>
    <w:rPr>
      <w:vertAlign w:val="superscript"/>
    </w:rPr>
  </w:style>
  <w:style w:type="character" w:styleId="Rimandocommento">
    <w:name w:val="annotation reference"/>
    <w:basedOn w:val="Carpredefinitoparagrafo"/>
    <w:uiPriority w:val="99"/>
    <w:semiHidden/>
    <w:unhideWhenUsed/>
    <w:rsid w:val="00912664"/>
    <w:rPr>
      <w:sz w:val="16"/>
      <w:szCs w:val="16"/>
    </w:rPr>
  </w:style>
  <w:style w:type="character" w:customStyle="1" w:styleId="maintitle">
    <w:name w:val="maintitle"/>
    <w:basedOn w:val="Carpredefinitoparagrafo"/>
    <w:rsid w:val="0048088B"/>
  </w:style>
  <w:style w:type="character" w:customStyle="1" w:styleId="journal-title">
    <w:name w:val="journal-title"/>
    <w:basedOn w:val="Carpredefinitoparagrafo"/>
    <w:rsid w:val="00025D07"/>
  </w:style>
  <w:style w:type="character" w:styleId="Collegamentovisitato">
    <w:name w:val="FollowedHyperlink"/>
    <w:basedOn w:val="Carpredefinitoparagrafo"/>
    <w:uiPriority w:val="99"/>
    <w:semiHidden/>
    <w:unhideWhenUsed/>
    <w:rsid w:val="00D06A13"/>
    <w:rPr>
      <w:color w:val="800080" w:themeColor="followedHyperlink"/>
      <w:u w:val="single"/>
    </w:rPr>
  </w:style>
  <w:style w:type="paragraph" w:customStyle="1" w:styleId="TableParagraph">
    <w:name w:val="Table Paragraph"/>
    <w:basedOn w:val="Normale"/>
    <w:uiPriority w:val="1"/>
    <w:qFormat/>
    <w:rsid w:val="000F6F08"/>
    <w:pPr>
      <w:widowControl w:val="0"/>
      <w:suppressAutoHyphens w:val="0"/>
      <w:autoSpaceDN w:val="0"/>
      <w:adjustRightInd w:val="0"/>
      <w:spacing w:line="240" w:lineRule="auto"/>
      <w:jc w:val="left"/>
    </w:pPr>
    <w:rPr>
      <w:rFonts w:eastAsiaTheme="minorEastAsia"/>
      <w:lang w:val="it-IT" w:eastAsia="it-IT"/>
    </w:rPr>
  </w:style>
  <w:style w:type="table" w:customStyle="1" w:styleId="TableNormal">
    <w:name w:val="Table Normal"/>
    <w:uiPriority w:val="2"/>
    <w:semiHidden/>
    <w:unhideWhenUsed/>
    <w:qFormat/>
    <w:rsid w:val="00540C0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87164203">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632096387">
      <w:bodyDiv w:val="1"/>
      <w:marLeft w:val="0"/>
      <w:marRight w:val="0"/>
      <w:marTop w:val="0"/>
      <w:marBottom w:val="0"/>
      <w:divBdr>
        <w:top w:val="none" w:sz="0" w:space="0" w:color="auto"/>
        <w:left w:val="none" w:sz="0" w:space="0" w:color="auto"/>
        <w:bottom w:val="none" w:sz="0" w:space="0" w:color="auto"/>
        <w:right w:val="none" w:sz="0" w:space="0" w:color="auto"/>
      </w:divBdr>
    </w:div>
    <w:div w:id="701250165">
      <w:bodyDiv w:val="1"/>
      <w:marLeft w:val="0"/>
      <w:marRight w:val="0"/>
      <w:marTop w:val="0"/>
      <w:marBottom w:val="0"/>
      <w:divBdr>
        <w:top w:val="none" w:sz="0" w:space="0" w:color="auto"/>
        <w:left w:val="none" w:sz="0" w:space="0" w:color="auto"/>
        <w:bottom w:val="none" w:sz="0" w:space="0" w:color="auto"/>
        <w:right w:val="none" w:sz="0" w:space="0" w:color="auto"/>
      </w:divBdr>
    </w:div>
    <w:div w:id="733742666">
      <w:bodyDiv w:val="1"/>
      <w:marLeft w:val="0"/>
      <w:marRight w:val="0"/>
      <w:marTop w:val="0"/>
      <w:marBottom w:val="0"/>
      <w:divBdr>
        <w:top w:val="none" w:sz="0" w:space="0" w:color="auto"/>
        <w:left w:val="none" w:sz="0" w:space="0" w:color="auto"/>
        <w:bottom w:val="none" w:sz="0" w:space="0" w:color="auto"/>
        <w:right w:val="none" w:sz="0" w:space="0" w:color="auto"/>
      </w:divBdr>
    </w:div>
    <w:div w:id="836578079">
      <w:bodyDiv w:val="1"/>
      <w:marLeft w:val="0"/>
      <w:marRight w:val="0"/>
      <w:marTop w:val="0"/>
      <w:marBottom w:val="0"/>
      <w:divBdr>
        <w:top w:val="none" w:sz="0" w:space="0" w:color="auto"/>
        <w:left w:val="none" w:sz="0" w:space="0" w:color="auto"/>
        <w:bottom w:val="none" w:sz="0" w:space="0" w:color="auto"/>
        <w:right w:val="none" w:sz="0" w:space="0" w:color="auto"/>
      </w:divBdr>
    </w:div>
    <w:div w:id="917207330">
      <w:bodyDiv w:val="1"/>
      <w:marLeft w:val="0"/>
      <w:marRight w:val="0"/>
      <w:marTop w:val="0"/>
      <w:marBottom w:val="0"/>
      <w:divBdr>
        <w:top w:val="none" w:sz="0" w:space="0" w:color="auto"/>
        <w:left w:val="none" w:sz="0" w:space="0" w:color="auto"/>
        <w:bottom w:val="none" w:sz="0" w:space="0" w:color="auto"/>
        <w:right w:val="none" w:sz="0" w:space="0" w:color="auto"/>
      </w:divBdr>
    </w:div>
    <w:div w:id="965694702">
      <w:bodyDiv w:val="1"/>
      <w:marLeft w:val="0"/>
      <w:marRight w:val="0"/>
      <w:marTop w:val="0"/>
      <w:marBottom w:val="0"/>
      <w:divBdr>
        <w:top w:val="none" w:sz="0" w:space="0" w:color="auto"/>
        <w:left w:val="none" w:sz="0" w:space="0" w:color="auto"/>
        <w:bottom w:val="none" w:sz="0" w:space="0" w:color="auto"/>
        <w:right w:val="none" w:sz="0" w:space="0" w:color="auto"/>
      </w:divBdr>
    </w:div>
    <w:div w:id="974412611">
      <w:bodyDiv w:val="1"/>
      <w:marLeft w:val="0"/>
      <w:marRight w:val="0"/>
      <w:marTop w:val="0"/>
      <w:marBottom w:val="0"/>
      <w:divBdr>
        <w:top w:val="none" w:sz="0" w:space="0" w:color="auto"/>
        <w:left w:val="none" w:sz="0" w:space="0" w:color="auto"/>
        <w:bottom w:val="none" w:sz="0" w:space="0" w:color="auto"/>
        <w:right w:val="none" w:sz="0" w:space="0" w:color="auto"/>
      </w:divBdr>
    </w:div>
    <w:div w:id="975842975">
      <w:bodyDiv w:val="1"/>
      <w:marLeft w:val="0"/>
      <w:marRight w:val="0"/>
      <w:marTop w:val="0"/>
      <w:marBottom w:val="0"/>
      <w:divBdr>
        <w:top w:val="none" w:sz="0" w:space="0" w:color="auto"/>
        <w:left w:val="none" w:sz="0" w:space="0" w:color="auto"/>
        <w:bottom w:val="none" w:sz="0" w:space="0" w:color="auto"/>
        <w:right w:val="none" w:sz="0" w:space="0" w:color="auto"/>
      </w:divBdr>
    </w:div>
    <w:div w:id="1076587199">
      <w:bodyDiv w:val="1"/>
      <w:marLeft w:val="0"/>
      <w:marRight w:val="0"/>
      <w:marTop w:val="0"/>
      <w:marBottom w:val="0"/>
      <w:divBdr>
        <w:top w:val="none" w:sz="0" w:space="0" w:color="auto"/>
        <w:left w:val="none" w:sz="0" w:space="0" w:color="auto"/>
        <w:bottom w:val="none" w:sz="0" w:space="0" w:color="auto"/>
        <w:right w:val="none" w:sz="0" w:space="0" w:color="auto"/>
      </w:divBdr>
    </w:div>
    <w:div w:id="1178808975">
      <w:bodyDiv w:val="1"/>
      <w:marLeft w:val="0"/>
      <w:marRight w:val="0"/>
      <w:marTop w:val="0"/>
      <w:marBottom w:val="0"/>
      <w:divBdr>
        <w:top w:val="none" w:sz="0" w:space="0" w:color="auto"/>
        <w:left w:val="none" w:sz="0" w:space="0" w:color="auto"/>
        <w:bottom w:val="none" w:sz="0" w:space="0" w:color="auto"/>
        <w:right w:val="none" w:sz="0" w:space="0" w:color="auto"/>
      </w:divBdr>
    </w:div>
    <w:div w:id="1210535433">
      <w:bodyDiv w:val="1"/>
      <w:marLeft w:val="0"/>
      <w:marRight w:val="0"/>
      <w:marTop w:val="0"/>
      <w:marBottom w:val="0"/>
      <w:divBdr>
        <w:top w:val="none" w:sz="0" w:space="0" w:color="auto"/>
        <w:left w:val="none" w:sz="0" w:space="0" w:color="auto"/>
        <w:bottom w:val="none" w:sz="0" w:space="0" w:color="auto"/>
        <w:right w:val="none" w:sz="0" w:space="0" w:color="auto"/>
      </w:divBdr>
    </w:div>
    <w:div w:id="1608462333">
      <w:bodyDiv w:val="1"/>
      <w:marLeft w:val="0"/>
      <w:marRight w:val="0"/>
      <w:marTop w:val="0"/>
      <w:marBottom w:val="0"/>
      <w:divBdr>
        <w:top w:val="none" w:sz="0" w:space="0" w:color="auto"/>
        <w:left w:val="none" w:sz="0" w:space="0" w:color="auto"/>
        <w:bottom w:val="none" w:sz="0" w:space="0" w:color="auto"/>
        <w:right w:val="none" w:sz="0" w:space="0" w:color="auto"/>
      </w:divBdr>
    </w:div>
    <w:div w:id="1955402027">
      <w:bodyDiv w:val="1"/>
      <w:marLeft w:val="0"/>
      <w:marRight w:val="0"/>
      <w:marTop w:val="0"/>
      <w:marBottom w:val="0"/>
      <w:divBdr>
        <w:top w:val="none" w:sz="0" w:space="0" w:color="auto"/>
        <w:left w:val="none" w:sz="0" w:space="0" w:color="auto"/>
        <w:bottom w:val="none" w:sz="0" w:space="0" w:color="auto"/>
        <w:right w:val="none" w:sz="0" w:space="0" w:color="auto"/>
      </w:divBdr>
      <w:divsChild>
        <w:div w:id="144205678">
          <w:marLeft w:val="0"/>
          <w:marRight w:val="0"/>
          <w:marTop w:val="0"/>
          <w:marBottom w:val="0"/>
          <w:divBdr>
            <w:top w:val="none" w:sz="0" w:space="0" w:color="auto"/>
            <w:left w:val="none" w:sz="0" w:space="0" w:color="auto"/>
            <w:bottom w:val="none" w:sz="0" w:space="0" w:color="auto"/>
            <w:right w:val="none" w:sz="0" w:space="0" w:color="auto"/>
          </w:divBdr>
        </w:div>
        <w:div w:id="1960405890">
          <w:marLeft w:val="0"/>
          <w:marRight w:val="0"/>
          <w:marTop w:val="0"/>
          <w:marBottom w:val="0"/>
          <w:divBdr>
            <w:top w:val="none" w:sz="0" w:space="0" w:color="auto"/>
            <w:left w:val="none" w:sz="0" w:space="0" w:color="auto"/>
            <w:bottom w:val="none" w:sz="0" w:space="0" w:color="auto"/>
            <w:right w:val="none" w:sz="0" w:space="0" w:color="auto"/>
          </w:divBdr>
        </w:div>
      </w:divsChild>
    </w:div>
    <w:div w:id="206648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file:///C:\Documents%20and%20Settings\casa1\Documenti\T%20E%20C%20T%20O%20N%20I%20C%20S\p_search_form.php%3ffield=au&amp;query=pini+gian+andrea&amp;log=literal&amp;SID=783ce5b4bc6ad3e4fcdec5ec231d211d" TargetMode="External"/><Relationship Id="rId26" Type="http://schemas.openxmlformats.org/officeDocument/2006/relationships/hyperlink" Target="http://uk1.csa.com/ids70/p_search_form.php?field=au&amp;query=cibin+u&amp;log=literal&amp;SID=3d4c0d44d2fc890bd0c38586c1d314f3" TargetMode="External"/><Relationship Id="rId3" Type="http://schemas.openxmlformats.org/officeDocument/2006/relationships/styles" Target="styles.xml"/><Relationship Id="rId21" Type="http://schemas.openxmlformats.org/officeDocument/2006/relationships/hyperlink" Target="http://md3.csa.com/ids70/p_search_form.php?field=au&amp;query=tateo+f&amp;log=literal&amp;SID=fff921f31936bcf34cd90bab4d1ea2fb"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Documents%20and%20Settings\casa1\Documenti\T%20E%20C%20T%20O%20N%20I%20C%20S\p_search_form.php%3ffield=au&amp;query=campos+venuti+marco&amp;log=literal&amp;SID=783ce5b4bc6ad3e4fcdec5ec231d211d" TargetMode="External"/><Relationship Id="rId25" Type="http://schemas.openxmlformats.org/officeDocument/2006/relationships/hyperlink" Target="http://md3.csa.com/ids70/view_record.php?id=2&amp;recnum=3&amp;SID=fff921f31936bcf34cd90bab4d1ea2fb" TargetMode="External"/><Relationship Id="rId2" Type="http://schemas.openxmlformats.org/officeDocument/2006/relationships/numbering" Target="numbering.xml"/><Relationship Id="rId16" Type="http://schemas.openxmlformats.org/officeDocument/2006/relationships/hyperlink" Target="http://dx.doi.org/10.1016/j.chemgeo.2008.11.016" TargetMode="External"/><Relationship Id="rId20" Type="http://schemas.openxmlformats.org/officeDocument/2006/relationships/hyperlink" Target="http://md3.csa.com/ids70/p_search_form.php?field=au&amp;query=cibin+u&amp;log=literal&amp;SID=fff921f31936bcf34cd90bab4d1ea2fb" TargetMode="External"/><Relationship Id="rId29" Type="http://schemas.openxmlformats.org/officeDocument/2006/relationships/hyperlink" Target="http://uk1.csa.com/ids70/p_search_form.php?field=au&amp;query=castellarin+a&amp;log=literal&amp;SID=3d4c0d44d2fc890bd0c38586c1d314f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md3.csa.com/ids70/p_search_form.php?field=au&amp;query=rio+d&amp;log=literal&amp;SID=fff921f31936bcf34cd90bab4d1ea2fb"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md3.csa.com/ids70/p_search_form.php?field=au&amp;query=martelli+l&amp;log=literal&amp;SID=fff921f31936bcf34cd90bab4d1ea2fb" TargetMode="External"/><Relationship Id="rId28" Type="http://schemas.openxmlformats.org/officeDocument/2006/relationships/hyperlink" Target="http://uk1.csa.com/ids70/p_search_form.php?field=au&amp;query=zuffa+g+g&amp;log=literal&amp;SID=3d4c0d44d2fc890bd0c38586c1d314f3" TargetMode="External"/><Relationship Id="rId10" Type="http://schemas.openxmlformats.org/officeDocument/2006/relationships/image" Target="media/image3.jpeg"/><Relationship Id="rId19" Type="http://schemas.openxmlformats.org/officeDocument/2006/relationships/hyperlink" Target="file:///C:\Documents%20and%20Settings\casa1\Documenti\T%20E%20C%20T%20O%20N%20I%20C%20S\p_search_form.php%3ffield=au&amp;query=tateo+fabio&amp;log=literal&amp;SID=783ce5b4bc6ad3e4fcdec5ec231d211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md3.csa.com/ids70/p_search_form.php?field=au&amp;query=catanzariti+r&amp;log=literal&amp;SID=fff921f31936bcf34cd90bab4d1ea2fb" TargetMode="External"/><Relationship Id="rId27" Type="http://schemas.openxmlformats.org/officeDocument/2006/relationships/hyperlink" Target="http://uk1.csa.com/ids70/p_search_form.php?field=au&amp;query=spadafora+e&amp;log=literal&amp;SID=3d4c0d44d2fc890bd0c38586c1d314f3" TargetMode="External"/><Relationship Id="rId30" Type="http://schemas.openxmlformats.org/officeDocument/2006/relationships/hyperlink" Target="http://www.stratigraphy.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RANFER%20x%20TECTO\TESTO%20principal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436AB-B33E-458A-A156-CF233382B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TESTO principale</Template>
  <TotalTime>451</TotalTime>
  <Pages>34</Pages>
  <Words>20131</Words>
  <Characters>114751</Characters>
  <Application>Microsoft Office Word</Application>
  <DocSecurity>0</DocSecurity>
  <Lines>956</Lines>
  <Paragraphs>269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134613</CharactersWithSpaces>
  <SharedDoc>false</SharedDoc>
  <HLinks>
    <vt:vector size="12" baseType="variant">
      <vt:variant>
        <vt:i4>8126555</vt:i4>
      </vt:variant>
      <vt:variant>
        <vt:i4>3</vt:i4>
      </vt:variant>
      <vt:variant>
        <vt:i4>0</vt:i4>
      </vt:variant>
      <vt:variant>
        <vt:i4>5</vt:i4>
      </vt:variant>
      <vt:variant>
        <vt:lpwstr>http://academic.emporia.edu/aberjame/struc_geo/rio/rio.htm</vt:lpwstr>
      </vt:variant>
      <vt:variant>
        <vt:lpwstr/>
      </vt:variant>
      <vt:variant>
        <vt:i4>2359332</vt:i4>
      </vt:variant>
      <vt:variant>
        <vt:i4>0</vt:i4>
      </vt:variant>
      <vt:variant>
        <vt:i4>0</vt:i4>
      </vt:variant>
      <vt:variant>
        <vt:i4>5</vt:i4>
      </vt:variant>
      <vt:variant>
        <vt:lpwstr>http://dx.doi.org/10.1016/j.chemgeo.2008.11.016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dc:creator>
  <cp:lastModifiedBy>Carlo</cp:lastModifiedBy>
  <cp:revision>31</cp:revision>
  <cp:lastPrinted>2014-09-27T05:34:00Z</cp:lastPrinted>
  <dcterms:created xsi:type="dcterms:W3CDTF">2014-10-22T15:09:00Z</dcterms:created>
  <dcterms:modified xsi:type="dcterms:W3CDTF">2014-12-20T15:33:00Z</dcterms:modified>
</cp:coreProperties>
</file>